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7B1B8" w14:textId="78F5C6B1" w:rsidR="00571880" w:rsidRPr="00571880" w:rsidRDefault="00571880" w:rsidP="00B24C11">
      <w:pPr>
        <w:pStyle w:val="Title"/>
        <w:rPr>
          <w:sz w:val="24"/>
          <w:szCs w:val="24"/>
          <w:u w:val="single"/>
        </w:rPr>
      </w:pPr>
      <w:bookmarkStart w:id="0" w:name="_GoBack"/>
      <w:bookmarkEnd w:id="0"/>
      <w:r w:rsidRPr="00571880">
        <w:rPr>
          <w:sz w:val="24"/>
          <w:szCs w:val="24"/>
          <w:u w:val="single"/>
        </w:rPr>
        <w:t>Resolution 2025-</w:t>
      </w:r>
      <w:r w:rsidR="00CA267B">
        <w:rPr>
          <w:sz w:val="24"/>
          <w:szCs w:val="24"/>
          <w:u w:val="single"/>
        </w:rPr>
        <w:t>64</w:t>
      </w:r>
    </w:p>
    <w:p w14:paraId="20BE1B7B" w14:textId="383100E5" w:rsidR="00571880" w:rsidRPr="00571880" w:rsidRDefault="00571880" w:rsidP="00B24C11">
      <w:pPr>
        <w:pStyle w:val="Title"/>
        <w:rPr>
          <w:sz w:val="24"/>
          <w:szCs w:val="24"/>
          <w:u w:val="single"/>
        </w:rPr>
      </w:pPr>
    </w:p>
    <w:p w14:paraId="4AFC2868" w14:textId="5E0F099B" w:rsidR="00571880" w:rsidRPr="00571880" w:rsidRDefault="00571880" w:rsidP="00B24C11">
      <w:pPr>
        <w:pStyle w:val="Title"/>
        <w:rPr>
          <w:b w:val="0"/>
          <w:i/>
          <w:smallCaps w:val="0"/>
          <w:sz w:val="24"/>
          <w:szCs w:val="24"/>
        </w:rPr>
      </w:pPr>
      <w:r w:rsidRPr="00571880">
        <w:rPr>
          <w:b w:val="0"/>
          <w:i/>
          <w:smallCaps w:val="0"/>
          <w:sz w:val="24"/>
          <w:szCs w:val="24"/>
        </w:rPr>
        <w:t>Township of New Hanover</w:t>
      </w:r>
    </w:p>
    <w:p w14:paraId="7A002006" w14:textId="7C7EF9A3" w:rsidR="00571880" w:rsidRPr="00571880" w:rsidRDefault="00571880" w:rsidP="00B24C11">
      <w:pPr>
        <w:pStyle w:val="Title"/>
        <w:rPr>
          <w:b w:val="0"/>
          <w:i/>
          <w:smallCaps w:val="0"/>
          <w:sz w:val="24"/>
          <w:szCs w:val="24"/>
        </w:rPr>
      </w:pPr>
      <w:r w:rsidRPr="00571880">
        <w:rPr>
          <w:b w:val="0"/>
          <w:i/>
          <w:smallCaps w:val="0"/>
          <w:sz w:val="24"/>
          <w:szCs w:val="24"/>
        </w:rPr>
        <w:t>County of Burlington</w:t>
      </w:r>
    </w:p>
    <w:p w14:paraId="497864A2" w14:textId="4A27EE98" w:rsidR="00571880" w:rsidRPr="00571880" w:rsidRDefault="00571880" w:rsidP="00B24C11">
      <w:pPr>
        <w:pStyle w:val="Title"/>
        <w:rPr>
          <w:b w:val="0"/>
          <w:i/>
          <w:smallCaps w:val="0"/>
          <w:sz w:val="24"/>
          <w:szCs w:val="24"/>
        </w:rPr>
      </w:pPr>
      <w:r w:rsidRPr="00571880">
        <w:rPr>
          <w:b w:val="0"/>
          <w:i/>
          <w:smallCaps w:val="0"/>
          <w:sz w:val="24"/>
          <w:szCs w:val="24"/>
        </w:rPr>
        <w:t>State of New Jersey</w:t>
      </w:r>
    </w:p>
    <w:p w14:paraId="2086C396" w14:textId="77777777" w:rsidR="00571880" w:rsidRPr="00571880" w:rsidRDefault="00571880" w:rsidP="00B24C11">
      <w:pPr>
        <w:pStyle w:val="Title"/>
        <w:rPr>
          <w:b w:val="0"/>
          <w:i/>
          <w:sz w:val="24"/>
          <w:szCs w:val="24"/>
        </w:rPr>
      </w:pPr>
    </w:p>
    <w:p w14:paraId="1B086109" w14:textId="0932976C" w:rsidR="00D67C1A" w:rsidRPr="00571880" w:rsidRDefault="003865EC" w:rsidP="00B24C11">
      <w:pPr>
        <w:pStyle w:val="Title"/>
        <w:rPr>
          <w:sz w:val="24"/>
          <w:szCs w:val="24"/>
        </w:rPr>
      </w:pPr>
      <w:r w:rsidRPr="00571880">
        <w:rPr>
          <w:sz w:val="24"/>
          <w:szCs w:val="24"/>
        </w:rPr>
        <w:t>Resolution Authorizing the Execution of a Contract Renewing</w:t>
      </w:r>
      <w:r w:rsidR="00D67C1A" w:rsidRPr="00571880">
        <w:rPr>
          <w:sz w:val="24"/>
          <w:szCs w:val="24"/>
        </w:rPr>
        <w:t xml:space="preserve"> Membership In The</w:t>
      </w:r>
      <w:r w:rsidR="00B24C11" w:rsidRPr="00571880">
        <w:rPr>
          <w:sz w:val="24"/>
          <w:szCs w:val="24"/>
        </w:rPr>
        <w:t xml:space="preserve"> </w:t>
      </w:r>
      <w:r w:rsidR="007D79ED" w:rsidRPr="00571880">
        <w:rPr>
          <w:sz w:val="24"/>
          <w:szCs w:val="24"/>
        </w:rPr>
        <w:t>Burlington</w:t>
      </w:r>
      <w:r w:rsidR="00D67C1A" w:rsidRPr="00571880">
        <w:rPr>
          <w:sz w:val="24"/>
          <w:szCs w:val="24"/>
        </w:rPr>
        <w:t xml:space="preserve"> County Municipal Joint Insurance Fund</w:t>
      </w:r>
    </w:p>
    <w:p w14:paraId="228A6497" w14:textId="77777777" w:rsidR="00B24C11" w:rsidRPr="00571880" w:rsidRDefault="00B24C11" w:rsidP="00B24C11">
      <w:pPr>
        <w:pStyle w:val="Title"/>
        <w:spacing w:before="120" w:after="120"/>
        <w:rPr>
          <w:smallCaps w:val="0"/>
          <w:sz w:val="24"/>
          <w:szCs w:val="24"/>
        </w:rPr>
      </w:pPr>
    </w:p>
    <w:p w14:paraId="2B7F580F" w14:textId="5211ACDB" w:rsidR="00D67C1A" w:rsidRPr="00571880" w:rsidRDefault="00B24C11" w:rsidP="00B24C11">
      <w:pPr>
        <w:pStyle w:val="BodyText"/>
        <w:spacing w:before="120" w:after="120"/>
        <w:rPr>
          <w:szCs w:val="24"/>
        </w:rPr>
      </w:pPr>
      <w:r w:rsidRPr="00571880">
        <w:rPr>
          <w:szCs w:val="24"/>
        </w:rPr>
        <w:tab/>
      </w:r>
      <w:r w:rsidR="00E330CE" w:rsidRPr="00571880">
        <w:rPr>
          <w:b/>
          <w:szCs w:val="24"/>
        </w:rPr>
        <w:t>WHEREAS</w:t>
      </w:r>
      <w:r w:rsidR="00E330CE" w:rsidRPr="00571880">
        <w:rPr>
          <w:szCs w:val="24"/>
        </w:rPr>
        <w:t xml:space="preserve">, </w:t>
      </w:r>
      <w:r w:rsidR="00267F6A" w:rsidRPr="00571880">
        <w:rPr>
          <w:szCs w:val="24"/>
        </w:rPr>
        <w:t xml:space="preserve">the </w:t>
      </w:r>
      <w:r w:rsidR="007439EE" w:rsidRPr="007439EE">
        <w:rPr>
          <w:szCs w:val="24"/>
        </w:rPr>
        <w:t>Township</w:t>
      </w:r>
      <w:r w:rsidR="007439EE">
        <w:rPr>
          <w:szCs w:val="24"/>
        </w:rPr>
        <w:t xml:space="preserve"> </w:t>
      </w:r>
      <w:r w:rsidR="00267F6A" w:rsidRPr="00571880">
        <w:rPr>
          <w:szCs w:val="24"/>
        </w:rPr>
        <w:t xml:space="preserve">of </w:t>
      </w:r>
      <w:r w:rsidR="007439EE">
        <w:rPr>
          <w:szCs w:val="24"/>
        </w:rPr>
        <w:t xml:space="preserve">New Hanover </w:t>
      </w:r>
      <w:r w:rsidR="00E330CE" w:rsidRPr="00571880">
        <w:rPr>
          <w:szCs w:val="24"/>
        </w:rPr>
        <w:t>(hereinafter the “MUNICIPALITY”)</w:t>
      </w:r>
      <w:r w:rsidR="00D67C1A" w:rsidRPr="00571880">
        <w:rPr>
          <w:szCs w:val="24"/>
        </w:rPr>
        <w:t xml:space="preserve"> is a member of the </w:t>
      </w:r>
      <w:r w:rsidR="007D79ED" w:rsidRPr="00571880">
        <w:rPr>
          <w:szCs w:val="24"/>
        </w:rPr>
        <w:t>Burlington</w:t>
      </w:r>
      <w:r w:rsidR="00D67C1A" w:rsidRPr="00571880">
        <w:rPr>
          <w:szCs w:val="24"/>
        </w:rPr>
        <w:t xml:space="preserve"> County</w:t>
      </w:r>
      <w:r w:rsidR="00D01A92" w:rsidRPr="00571880">
        <w:rPr>
          <w:szCs w:val="24"/>
        </w:rPr>
        <w:t xml:space="preserve"> Municipal</w:t>
      </w:r>
      <w:r w:rsidR="00D67C1A" w:rsidRPr="00571880">
        <w:rPr>
          <w:szCs w:val="24"/>
        </w:rPr>
        <w:t xml:space="preserve"> Joint Insurance Fund (hereinafter the "FUND"); and</w:t>
      </w:r>
    </w:p>
    <w:p w14:paraId="4F61FD5B" w14:textId="139E7688" w:rsidR="00D67C1A" w:rsidRPr="00571880" w:rsidRDefault="00B24C11" w:rsidP="00B24C11">
      <w:pPr>
        <w:pStyle w:val="BodyText"/>
        <w:spacing w:before="120" w:after="120"/>
        <w:rPr>
          <w:szCs w:val="24"/>
        </w:rPr>
      </w:pPr>
      <w:r w:rsidRPr="00571880">
        <w:rPr>
          <w:szCs w:val="24"/>
        </w:rPr>
        <w:tab/>
      </w:r>
      <w:r w:rsidR="00E330CE" w:rsidRPr="00571880">
        <w:rPr>
          <w:b/>
          <w:szCs w:val="24"/>
        </w:rPr>
        <w:t>WHEREAS</w:t>
      </w:r>
      <w:r w:rsidR="00E330CE" w:rsidRPr="00571880">
        <w:rPr>
          <w:szCs w:val="24"/>
        </w:rPr>
        <w:t xml:space="preserve">, the MUNICIPALITY’S </w:t>
      </w:r>
      <w:r w:rsidR="00D67C1A" w:rsidRPr="00571880">
        <w:rPr>
          <w:szCs w:val="24"/>
        </w:rPr>
        <w:t xml:space="preserve">membership terminates as of January 1, </w:t>
      </w:r>
      <w:r w:rsidR="006E7D10" w:rsidRPr="00571880">
        <w:rPr>
          <w:szCs w:val="24"/>
        </w:rPr>
        <w:t>202</w:t>
      </w:r>
      <w:r w:rsidR="004160AE" w:rsidRPr="00571880">
        <w:rPr>
          <w:szCs w:val="24"/>
        </w:rPr>
        <w:t>6</w:t>
      </w:r>
      <w:r w:rsidR="00AE44C2" w:rsidRPr="00571880">
        <w:rPr>
          <w:szCs w:val="24"/>
        </w:rPr>
        <w:t xml:space="preserve"> </w:t>
      </w:r>
      <w:r w:rsidR="00D67C1A" w:rsidRPr="00571880">
        <w:rPr>
          <w:szCs w:val="24"/>
        </w:rPr>
        <w:t>unl</w:t>
      </w:r>
      <w:r w:rsidR="00E330CE" w:rsidRPr="00571880">
        <w:rPr>
          <w:szCs w:val="24"/>
        </w:rPr>
        <w:t>ess earlier renewed by a Contract between the MUNICIPALITY</w:t>
      </w:r>
      <w:r w:rsidR="00D67C1A" w:rsidRPr="00571880">
        <w:rPr>
          <w:szCs w:val="24"/>
        </w:rPr>
        <w:t xml:space="preserve"> and the FUND; and</w:t>
      </w:r>
    </w:p>
    <w:p w14:paraId="7D4177F4" w14:textId="4135ED7D" w:rsidR="001476E5" w:rsidRPr="00571880" w:rsidRDefault="00B24C11" w:rsidP="00B24C11">
      <w:pPr>
        <w:pStyle w:val="BodyText"/>
        <w:spacing w:before="120" w:after="120"/>
        <w:rPr>
          <w:szCs w:val="24"/>
        </w:rPr>
      </w:pPr>
      <w:r w:rsidRPr="00571880">
        <w:rPr>
          <w:szCs w:val="24"/>
        </w:rPr>
        <w:tab/>
      </w:r>
      <w:r w:rsidR="001476E5" w:rsidRPr="00571880">
        <w:rPr>
          <w:b/>
          <w:szCs w:val="24"/>
        </w:rPr>
        <w:t>WHEREAS</w:t>
      </w:r>
      <w:r w:rsidR="001476E5" w:rsidRPr="00571880">
        <w:rPr>
          <w:szCs w:val="24"/>
        </w:rPr>
        <w:t xml:space="preserve">, </w:t>
      </w:r>
      <w:r w:rsidR="00F226E5" w:rsidRPr="00571880">
        <w:rPr>
          <w:szCs w:val="24"/>
        </w:rPr>
        <w:t>N</w:t>
      </w:r>
      <w:r w:rsidR="00D2625E" w:rsidRPr="00571880">
        <w:rPr>
          <w:szCs w:val="24"/>
        </w:rPr>
        <w:t>.</w:t>
      </w:r>
      <w:r w:rsidR="00F226E5" w:rsidRPr="00571880">
        <w:rPr>
          <w:szCs w:val="24"/>
        </w:rPr>
        <w:t>J</w:t>
      </w:r>
      <w:r w:rsidR="00D2625E" w:rsidRPr="00571880">
        <w:rPr>
          <w:szCs w:val="24"/>
        </w:rPr>
        <w:t>.</w:t>
      </w:r>
      <w:r w:rsidR="00F226E5" w:rsidRPr="00571880">
        <w:rPr>
          <w:szCs w:val="24"/>
        </w:rPr>
        <w:t>S</w:t>
      </w:r>
      <w:r w:rsidR="00D2625E" w:rsidRPr="00571880">
        <w:rPr>
          <w:szCs w:val="24"/>
        </w:rPr>
        <w:t>.</w:t>
      </w:r>
      <w:r w:rsidR="00F226E5" w:rsidRPr="00571880">
        <w:rPr>
          <w:szCs w:val="24"/>
        </w:rPr>
        <w:t>A</w:t>
      </w:r>
      <w:r w:rsidR="00D2625E" w:rsidRPr="00571880">
        <w:rPr>
          <w:szCs w:val="24"/>
        </w:rPr>
        <w:t>.</w:t>
      </w:r>
      <w:r w:rsidR="00E330CE" w:rsidRPr="00571880">
        <w:rPr>
          <w:szCs w:val="24"/>
        </w:rPr>
        <w:t xml:space="preserve"> 40A:11-5 (1</w:t>
      </w:r>
      <w:r w:rsidR="003865EC" w:rsidRPr="00571880">
        <w:rPr>
          <w:szCs w:val="24"/>
        </w:rPr>
        <w:t>) (</w:t>
      </w:r>
      <w:r w:rsidR="00F226E5" w:rsidRPr="00571880">
        <w:rPr>
          <w:szCs w:val="24"/>
        </w:rPr>
        <w:t xml:space="preserve">m) provides </w:t>
      </w:r>
      <w:r w:rsidR="001F1276" w:rsidRPr="00571880">
        <w:rPr>
          <w:szCs w:val="24"/>
        </w:rPr>
        <w:t>that a</w:t>
      </w:r>
      <w:r w:rsidR="00E330CE" w:rsidRPr="00571880">
        <w:rPr>
          <w:szCs w:val="24"/>
        </w:rPr>
        <w:t xml:space="preserve"> Contract which exceeds the bid threshold may be negotiated and awarded by the governing body without public advertising for bids and bidding therefor, if the subject matter is </w:t>
      </w:r>
      <w:r w:rsidR="00F226E5" w:rsidRPr="00571880">
        <w:rPr>
          <w:szCs w:val="24"/>
        </w:rPr>
        <w:t>fo</w:t>
      </w:r>
      <w:r w:rsidR="00E330CE" w:rsidRPr="00571880">
        <w:rPr>
          <w:szCs w:val="24"/>
        </w:rPr>
        <w:t>r the purchase of insurance coverage and consultant services, provided that the award is in accordance with the requirements for extraordinary unspecifiable services</w:t>
      </w:r>
      <w:r w:rsidR="00F226E5" w:rsidRPr="00571880">
        <w:rPr>
          <w:szCs w:val="24"/>
        </w:rPr>
        <w:t>; and</w:t>
      </w:r>
    </w:p>
    <w:p w14:paraId="53A3BB0F" w14:textId="4CE4A316" w:rsidR="00F226E5" w:rsidRPr="00571880" w:rsidRDefault="00B24C11" w:rsidP="00B24C11">
      <w:pPr>
        <w:pStyle w:val="BodyText"/>
        <w:spacing w:before="120" w:after="120"/>
        <w:rPr>
          <w:szCs w:val="24"/>
        </w:rPr>
      </w:pPr>
      <w:r w:rsidRPr="00571880">
        <w:rPr>
          <w:szCs w:val="24"/>
        </w:rPr>
        <w:tab/>
      </w:r>
      <w:r w:rsidR="00F226E5" w:rsidRPr="00571880">
        <w:rPr>
          <w:b/>
          <w:szCs w:val="24"/>
        </w:rPr>
        <w:t>WHEREAS</w:t>
      </w:r>
      <w:r w:rsidR="00F226E5" w:rsidRPr="00571880">
        <w:rPr>
          <w:szCs w:val="24"/>
        </w:rPr>
        <w:t>, N</w:t>
      </w:r>
      <w:r w:rsidR="00D2625E" w:rsidRPr="00571880">
        <w:rPr>
          <w:szCs w:val="24"/>
        </w:rPr>
        <w:t>.</w:t>
      </w:r>
      <w:r w:rsidR="00F226E5" w:rsidRPr="00571880">
        <w:rPr>
          <w:szCs w:val="24"/>
        </w:rPr>
        <w:t>J</w:t>
      </w:r>
      <w:r w:rsidR="00D2625E" w:rsidRPr="00571880">
        <w:rPr>
          <w:szCs w:val="24"/>
        </w:rPr>
        <w:t>.</w:t>
      </w:r>
      <w:r w:rsidR="00F226E5" w:rsidRPr="00571880">
        <w:rPr>
          <w:szCs w:val="24"/>
        </w:rPr>
        <w:t>S</w:t>
      </w:r>
      <w:r w:rsidR="00D2625E" w:rsidRPr="00571880">
        <w:rPr>
          <w:szCs w:val="24"/>
        </w:rPr>
        <w:t>.</w:t>
      </w:r>
      <w:r w:rsidR="00F226E5" w:rsidRPr="00571880">
        <w:rPr>
          <w:szCs w:val="24"/>
        </w:rPr>
        <w:t>A</w:t>
      </w:r>
      <w:r w:rsidR="00D2625E" w:rsidRPr="00571880">
        <w:rPr>
          <w:szCs w:val="24"/>
        </w:rPr>
        <w:t>.</w:t>
      </w:r>
      <w:r w:rsidR="001F1276" w:rsidRPr="00571880">
        <w:rPr>
          <w:szCs w:val="24"/>
        </w:rPr>
        <w:t xml:space="preserve"> 40A:11-6.1(b</w:t>
      </w:r>
      <w:r w:rsidR="00B36302" w:rsidRPr="00571880">
        <w:rPr>
          <w:szCs w:val="24"/>
        </w:rPr>
        <w:t>)</w:t>
      </w:r>
      <w:r w:rsidR="001F1276" w:rsidRPr="00571880">
        <w:rPr>
          <w:szCs w:val="24"/>
        </w:rPr>
        <w:t xml:space="preserve"> provides that the MUNICIPALITY shall make a documented effort to secure competitive quotations; however, a Contract may be awarded upon a determination, in writing, that the solicitation of competitive quotations is impracticable; </w:t>
      </w:r>
      <w:r w:rsidR="00B36302" w:rsidRPr="00571880">
        <w:rPr>
          <w:szCs w:val="24"/>
        </w:rPr>
        <w:t>and</w:t>
      </w:r>
    </w:p>
    <w:p w14:paraId="4B4C0C2F" w14:textId="7A515230" w:rsidR="00934EA5" w:rsidRPr="00571880" w:rsidRDefault="00B24C11" w:rsidP="00B24C11">
      <w:pPr>
        <w:pStyle w:val="BodyText"/>
        <w:spacing w:before="120" w:after="120"/>
        <w:rPr>
          <w:szCs w:val="24"/>
        </w:rPr>
      </w:pPr>
      <w:r w:rsidRPr="00571880">
        <w:rPr>
          <w:szCs w:val="24"/>
        </w:rPr>
        <w:tab/>
      </w:r>
      <w:r w:rsidR="00841606" w:rsidRPr="00571880">
        <w:rPr>
          <w:b/>
          <w:szCs w:val="24"/>
        </w:rPr>
        <w:t>WHEREAS</w:t>
      </w:r>
      <w:r w:rsidR="00841606" w:rsidRPr="00571880">
        <w:rPr>
          <w:szCs w:val="24"/>
        </w:rPr>
        <w:t xml:space="preserve">, in accordance with N.J.A.C. 5:34-2.3, a designated official </w:t>
      </w:r>
      <w:r w:rsidR="00934EA5" w:rsidRPr="00571880">
        <w:rPr>
          <w:szCs w:val="24"/>
        </w:rPr>
        <w:t>of the MUNICIPALITY, has filed a certificate with the governing body describing in detail</w:t>
      </w:r>
      <w:r w:rsidR="00841606" w:rsidRPr="00571880">
        <w:rPr>
          <w:szCs w:val="24"/>
        </w:rPr>
        <w:t>, as set forth below in this Resolution,</w:t>
      </w:r>
      <w:r w:rsidR="00934EA5" w:rsidRPr="00571880">
        <w:rPr>
          <w:szCs w:val="24"/>
        </w:rPr>
        <w:t xml:space="preserve"> why this Contract meets the provisions of the statutes and the regulations</w:t>
      </w:r>
      <w:r w:rsidR="00981135" w:rsidRPr="00571880">
        <w:rPr>
          <w:szCs w:val="24"/>
        </w:rPr>
        <w:t xml:space="preserve"> and why the solicitation of competitive quotations is impracticable</w:t>
      </w:r>
      <w:r w:rsidR="00934EA5" w:rsidRPr="00571880">
        <w:rPr>
          <w:szCs w:val="24"/>
        </w:rPr>
        <w:t>; and</w:t>
      </w:r>
    </w:p>
    <w:p w14:paraId="3F7C49D4" w14:textId="1CCAFB6B" w:rsidR="00B36302" w:rsidRPr="00571880" w:rsidRDefault="00B24C11" w:rsidP="00B24C11">
      <w:pPr>
        <w:pStyle w:val="BodyText"/>
        <w:spacing w:before="120" w:after="120"/>
        <w:rPr>
          <w:szCs w:val="24"/>
        </w:rPr>
      </w:pPr>
      <w:r w:rsidRPr="00571880">
        <w:rPr>
          <w:szCs w:val="24"/>
        </w:rPr>
        <w:tab/>
      </w:r>
      <w:r w:rsidR="00B36302" w:rsidRPr="00571880">
        <w:rPr>
          <w:b/>
          <w:szCs w:val="24"/>
        </w:rPr>
        <w:t>WHEREAS</w:t>
      </w:r>
      <w:r w:rsidR="00B36302" w:rsidRPr="00571880">
        <w:rPr>
          <w:szCs w:val="24"/>
        </w:rPr>
        <w:t xml:space="preserve">, </w:t>
      </w:r>
      <w:r w:rsidR="001F1276" w:rsidRPr="00571880">
        <w:rPr>
          <w:szCs w:val="24"/>
        </w:rPr>
        <w:t xml:space="preserve">it has been determined that </w:t>
      </w:r>
      <w:r w:rsidR="00B36302" w:rsidRPr="00571880">
        <w:rPr>
          <w:szCs w:val="24"/>
        </w:rPr>
        <w:t>the pur</w:t>
      </w:r>
      <w:r w:rsidR="001F1276" w:rsidRPr="00571880">
        <w:rPr>
          <w:szCs w:val="24"/>
        </w:rPr>
        <w:t xml:space="preserve">chase of insurance </w:t>
      </w:r>
      <w:r w:rsidR="00B36302" w:rsidRPr="00571880">
        <w:rPr>
          <w:szCs w:val="24"/>
        </w:rPr>
        <w:t>coverage</w:t>
      </w:r>
      <w:r w:rsidR="00981135" w:rsidRPr="00571880">
        <w:rPr>
          <w:szCs w:val="24"/>
        </w:rPr>
        <w:t xml:space="preserve"> and insurance consultant</w:t>
      </w:r>
      <w:r w:rsidR="001F1276" w:rsidRPr="00571880">
        <w:rPr>
          <w:szCs w:val="24"/>
        </w:rPr>
        <w:t xml:space="preserve"> services by the MUNICIPALITY </w:t>
      </w:r>
      <w:r w:rsidR="00B36302" w:rsidRPr="00571880">
        <w:rPr>
          <w:szCs w:val="24"/>
        </w:rPr>
        <w:t xml:space="preserve">requires a unique knowledge and understanding of municipal exposures and risks </w:t>
      </w:r>
      <w:r w:rsidR="008E453E" w:rsidRPr="00571880">
        <w:rPr>
          <w:szCs w:val="24"/>
        </w:rPr>
        <w:t>associated with the operation of a municipal entity, and</w:t>
      </w:r>
      <w:r w:rsidR="001F1276" w:rsidRPr="00571880">
        <w:rPr>
          <w:szCs w:val="24"/>
        </w:rPr>
        <w:t xml:space="preserve"> many </w:t>
      </w:r>
      <w:r w:rsidR="00B36302" w:rsidRPr="00571880">
        <w:rPr>
          <w:szCs w:val="24"/>
        </w:rPr>
        <w:t>insurance professionals ar</w:t>
      </w:r>
      <w:r w:rsidR="001F1276" w:rsidRPr="00571880">
        <w:rPr>
          <w:szCs w:val="24"/>
        </w:rPr>
        <w:t xml:space="preserve">e not qualified to assess </w:t>
      </w:r>
      <w:r w:rsidR="008E453E" w:rsidRPr="00571880">
        <w:rPr>
          <w:szCs w:val="24"/>
        </w:rPr>
        <w:t xml:space="preserve">these risks and exposures </w:t>
      </w:r>
      <w:r w:rsidR="001F1276" w:rsidRPr="00571880">
        <w:rPr>
          <w:szCs w:val="24"/>
        </w:rPr>
        <w:t>based upon</w:t>
      </w:r>
      <w:r w:rsidR="008E453E" w:rsidRPr="00571880">
        <w:rPr>
          <w:szCs w:val="24"/>
        </w:rPr>
        <w:t xml:space="preserve"> their</w:t>
      </w:r>
      <w:r w:rsidR="00B36302" w:rsidRPr="00571880">
        <w:rPr>
          <w:szCs w:val="24"/>
        </w:rPr>
        <w:t xml:space="preserve"> inherent complexity; and</w:t>
      </w:r>
    </w:p>
    <w:p w14:paraId="1E29334B" w14:textId="321BF4A4" w:rsidR="00AA3F76" w:rsidRPr="00571880" w:rsidRDefault="00B24C11" w:rsidP="00B24C11">
      <w:pPr>
        <w:pStyle w:val="BodyText"/>
        <w:spacing w:before="120" w:after="120"/>
        <w:rPr>
          <w:szCs w:val="24"/>
        </w:rPr>
      </w:pPr>
      <w:r w:rsidRPr="00571880">
        <w:rPr>
          <w:szCs w:val="24"/>
        </w:rPr>
        <w:tab/>
      </w:r>
      <w:r w:rsidR="00B36302" w:rsidRPr="00571880">
        <w:rPr>
          <w:b/>
          <w:szCs w:val="24"/>
        </w:rPr>
        <w:t>WHEREAS</w:t>
      </w:r>
      <w:r w:rsidR="00B36302" w:rsidRPr="00571880">
        <w:rPr>
          <w:szCs w:val="24"/>
        </w:rPr>
        <w:t>, insurance coverage for municipal entities</w:t>
      </w:r>
      <w:r w:rsidR="00306EBA" w:rsidRPr="00571880">
        <w:rPr>
          <w:szCs w:val="24"/>
        </w:rPr>
        <w:t xml:space="preserve"> can vary greatly in the type, limits, and exceptions to coverage</w:t>
      </w:r>
      <w:r w:rsidR="00981135" w:rsidRPr="00571880">
        <w:rPr>
          <w:szCs w:val="24"/>
        </w:rPr>
        <w:t xml:space="preserve">, and </w:t>
      </w:r>
      <w:r w:rsidR="00D20776" w:rsidRPr="00571880">
        <w:rPr>
          <w:szCs w:val="24"/>
        </w:rPr>
        <w:t>therefor</w:t>
      </w:r>
      <w:r w:rsidR="00981135" w:rsidRPr="00571880">
        <w:rPr>
          <w:szCs w:val="24"/>
        </w:rPr>
        <w:t>e</w:t>
      </w:r>
      <w:r w:rsidR="00D20776" w:rsidRPr="00571880">
        <w:rPr>
          <w:szCs w:val="24"/>
        </w:rPr>
        <w:t xml:space="preserve"> particularized expertise in determining and obtaining the appropriate coverage </w:t>
      </w:r>
      <w:r w:rsidR="00981135" w:rsidRPr="00571880">
        <w:rPr>
          <w:szCs w:val="24"/>
        </w:rPr>
        <w:t xml:space="preserve">is required </w:t>
      </w:r>
      <w:r w:rsidR="00D20776" w:rsidRPr="00571880">
        <w:rPr>
          <w:szCs w:val="24"/>
        </w:rPr>
        <w:t>to protect the MUNICIPALITY</w:t>
      </w:r>
      <w:r w:rsidR="00AA3F76" w:rsidRPr="00571880">
        <w:rPr>
          <w:szCs w:val="24"/>
        </w:rPr>
        <w:t>; and</w:t>
      </w:r>
    </w:p>
    <w:p w14:paraId="2DA17F97" w14:textId="7584F6F7" w:rsidR="00D20776" w:rsidRPr="00571880" w:rsidRDefault="00B24C11" w:rsidP="00B24C11">
      <w:pPr>
        <w:pStyle w:val="BodyText"/>
        <w:spacing w:before="120" w:after="120"/>
        <w:rPr>
          <w:szCs w:val="24"/>
        </w:rPr>
      </w:pPr>
      <w:r w:rsidRPr="00571880">
        <w:rPr>
          <w:szCs w:val="24"/>
        </w:rPr>
        <w:tab/>
      </w:r>
      <w:r w:rsidR="00D20776" w:rsidRPr="00571880">
        <w:rPr>
          <w:b/>
          <w:szCs w:val="24"/>
        </w:rPr>
        <w:t>WHEREAS</w:t>
      </w:r>
      <w:r w:rsidR="00D20776" w:rsidRPr="00571880">
        <w:rPr>
          <w:szCs w:val="24"/>
        </w:rPr>
        <w:t xml:space="preserve">, it is the goal of the MUNICIPALITY to obtain a single integrated program to provide all types of insurance coverage with a plan to limit the MUNICIPALITIES exposure; and </w:t>
      </w:r>
    </w:p>
    <w:p w14:paraId="27A8984D" w14:textId="09035533" w:rsidR="00AA3F76" w:rsidRPr="00571880" w:rsidRDefault="00B24C11" w:rsidP="00B24C11">
      <w:pPr>
        <w:pStyle w:val="BodyText"/>
        <w:spacing w:before="120" w:after="120"/>
        <w:rPr>
          <w:szCs w:val="24"/>
        </w:rPr>
      </w:pPr>
      <w:r w:rsidRPr="00571880">
        <w:rPr>
          <w:szCs w:val="24"/>
        </w:rPr>
        <w:tab/>
      </w:r>
      <w:r w:rsidR="00AA3F76" w:rsidRPr="00571880">
        <w:rPr>
          <w:b/>
          <w:szCs w:val="24"/>
        </w:rPr>
        <w:t>WHEREAS</w:t>
      </w:r>
      <w:r w:rsidR="00AA3F76" w:rsidRPr="00571880">
        <w:rPr>
          <w:szCs w:val="24"/>
        </w:rPr>
        <w:t>, the FUND has provided comprehensive insurance coverage to member municipalities since 19</w:t>
      </w:r>
      <w:r w:rsidR="007D79ED" w:rsidRPr="00571880">
        <w:rPr>
          <w:szCs w:val="24"/>
        </w:rPr>
        <w:t>91</w:t>
      </w:r>
      <w:r w:rsidR="00AA3F76" w:rsidRPr="00571880">
        <w:rPr>
          <w:szCs w:val="24"/>
        </w:rPr>
        <w:t>; and</w:t>
      </w:r>
    </w:p>
    <w:p w14:paraId="09E790A7" w14:textId="5FE8358E" w:rsidR="00AA3F76" w:rsidRPr="00571880" w:rsidRDefault="00B24C11" w:rsidP="00B24C11">
      <w:pPr>
        <w:pStyle w:val="BodyText"/>
        <w:spacing w:before="120" w:after="120"/>
        <w:rPr>
          <w:szCs w:val="24"/>
        </w:rPr>
      </w:pPr>
      <w:r w:rsidRPr="00571880">
        <w:rPr>
          <w:szCs w:val="24"/>
        </w:rPr>
        <w:lastRenderedPageBreak/>
        <w:tab/>
      </w:r>
      <w:r w:rsidR="00AA3F76" w:rsidRPr="00571880">
        <w:rPr>
          <w:b/>
          <w:szCs w:val="24"/>
        </w:rPr>
        <w:t>WHEREAS</w:t>
      </w:r>
      <w:r w:rsidR="00AA3F76" w:rsidRPr="00571880">
        <w:rPr>
          <w:szCs w:val="24"/>
        </w:rPr>
        <w:t>, since 19</w:t>
      </w:r>
      <w:r w:rsidR="007D79ED" w:rsidRPr="00571880">
        <w:rPr>
          <w:szCs w:val="24"/>
        </w:rPr>
        <w:t>91</w:t>
      </w:r>
      <w:r w:rsidR="004539DC" w:rsidRPr="00571880">
        <w:rPr>
          <w:szCs w:val="24"/>
        </w:rPr>
        <w:t>,</w:t>
      </w:r>
      <w:r w:rsidR="00AA3F76" w:rsidRPr="00571880">
        <w:rPr>
          <w:szCs w:val="24"/>
        </w:rPr>
        <w:t xml:space="preserve"> the </w:t>
      </w:r>
      <w:r w:rsidR="00381E9D" w:rsidRPr="00571880">
        <w:rPr>
          <w:szCs w:val="24"/>
        </w:rPr>
        <w:t>FUND</w:t>
      </w:r>
      <w:r w:rsidR="00AA3F76" w:rsidRPr="00571880">
        <w:rPr>
          <w:szCs w:val="24"/>
        </w:rPr>
        <w:t xml:space="preserve"> has continually refined </w:t>
      </w:r>
      <w:r w:rsidR="00D20776" w:rsidRPr="00571880">
        <w:rPr>
          <w:szCs w:val="24"/>
        </w:rPr>
        <w:t>all of the types of</w:t>
      </w:r>
      <w:r w:rsidR="00AA3F76" w:rsidRPr="00571880">
        <w:rPr>
          <w:szCs w:val="24"/>
        </w:rPr>
        <w:t xml:space="preserve"> coverage </w:t>
      </w:r>
      <w:r w:rsidR="00D20776" w:rsidRPr="00571880">
        <w:rPr>
          <w:szCs w:val="24"/>
        </w:rPr>
        <w:t>that it provides to its members so that</w:t>
      </w:r>
      <w:r w:rsidR="00981135" w:rsidRPr="00571880">
        <w:rPr>
          <w:szCs w:val="24"/>
        </w:rPr>
        <w:t xml:space="preserve"> it offers </w:t>
      </w:r>
      <w:r w:rsidR="00AA3F76" w:rsidRPr="00571880">
        <w:rPr>
          <w:szCs w:val="24"/>
        </w:rPr>
        <w:t>comprehensive insurance coverage and limits</w:t>
      </w:r>
      <w:r w:rsidR="00981135" w:rsidRPr="00571880">
        <w:rPr>
          <w:szCs w:val="24"/>
        </w:rPr>
        <w:t xml:space="preserve"> to all members</w:t>
      </w:r>
      <w:r w:rsidR="00AA3F76" w:rsidRPr="00571880">
        <w:rPr>
          <w:szCs w:val="24"/>
        </w:rPr>
        <w:t xml:space="preserve"> that </w:t>
      </w:r>
      <w:r w:rsidR="00D20776" w:rsidRPr="00571880">
        <w:rPr>
          <w:szCs w:val="24"/>
        </w:rPr>
        <w:t xml:space="preserve">is unique and </w:t>
      </w:r>
      <w:r w:rsidR="00AA3F76" w:rsidRPr="00571880">
        <w:rPr>
          <w:szCs w:val="24"/>
        </w:rPr>
        <w:t xml:space="preserve">cannot be purchased from a single entity in the commercial </w:t>
      </w:r>
      <w:r w:rsidR="00D20776" w:rsidRPr="00571880">
        <w:rPr>
          <w:szCs w:val="24"/>
        </w:rPr>
        <w:t xml:space="preserve">insurance </w:t>
      </w:r>
      <w:r w:rsidR="00AA3F76" w:rsidRPr="00571880">
        <w:rPr>
          <w:szCs w:val="24"/>
        </w:rPr>
        <w:t>market; and</w:t>
      </w:r>
    </w:p>
    <w:p w14:paraId="13A4FF82" w14:textId="6A5B72FB" w:rsidR="00B42E78" w:rsidRPr="00571880" w:rsidRDefault="00B24C11" w:rsidP="00B24C11">
      <w:pPr>
        <w:pStyle w:val="BodyText"/>
        <w:spacing w:before="120" w:after="120"/>
        <w:rPr>
          <w:szCs w:val="24"/>
        </w:rPr>
      </w:pPr>
      <w:r w:rsidRPr="00571880">
        <w:rPr>
          <w:szCs w:val="24"/>
        </w:rPr>
        <w:tab/>
      </w:r>
      <w:r w:rsidR="00AA3F76" w:rsidRPr="00571880">
        <w:rPr>
          <w:b/>
          <w:szCs w:val="24"/>
        </w:rPr>
        <w:t>WHEREAS</w:t>
      </w:r>
      <w:r w:rsidR="00AA3F76" w:rsidRPr="00571880">
        <w:rPr>
          <w:szCs w:val="24"/>
        </w:rPr>
        <w:t xml:space="preserve">, the FUND has also developed and made available to </w:t>
      </w:r>
      <w:r w:rsidR="00D20776" w:rsidRPr="00571880">
        <w:rPr>
          <w:szCs w:val="24"/>
        </w:rPr>
        <w:t>its members Safety, Risk M</w:t>
      </w:r>
      <w:r w:rsidR="00AA3F76" w:rsidRPr="00571880">
        <w:rPr>
          <w:szCs w:val="24"/>
        </w:rPr>
        <w:t>anagement</w:t>
      </w:r>
      <w:r w:rsidR="00DC38EA" w:rsidRPr="00571880">
        <w:rPr>
          <w:szCs w:val="24"/>
        </w:rPr>
        <w:t>,</w:t>
      </w:r>
      <w:r w:rsidR="00D20776" w:rsidRPr="00571880">
        <w:rPr>
          <w:szCs w:val="24"/>
        </w:rPr>
        <w:t xml:space="preserve"> and Litigation Management</w:t>
      </w:r>
      <w:r w:rsidR="00AA3F76" w:rsidRPr="00571880">
        <w:rPr>
          <w:szCs w:val="24"/>
        </w:rPr>
        <w:t xml:space="preserve"> programs that address the specific exposures and risks asso</w:t>
      </w:r>
      <w:r w:rsidR="00D20776" w:rsidRPr="00571880">
        <w:rPr>
          <w:szCs w:val="24"/>
        </w:rPr>
        <w:t>ciated with municipal entities</w:t>
      </w:r>
      <w:r w:rsidR="00AA3F76" w:rsidRPr="00571880">
        <w:rPr>
          <w:szCs w:val="24"/>
        </w:rPr>
        <w:t>; and</w:t>
      </w:r>
    </w:p>
    <w:p w14:paraId="3A731873" w14:textId="515704B0" w:rsidR="00C07F06" w:rsidRPr="00571880" w:rsidRDefault="00B24C11" w:rsidP="00B24C11">
      <w:pPr>
        <w:pStyle w:val="BodyText"/>
        <w:spacing w:before="120" w:after="120"/>
        <w:rPr>
          <w:szCs w:val="24"/>
        </w:rPr>
      </w:pPr>
      <w:r w:rsidRPr="00571880">
        <w:rPr>
          <w:szCs w:val="24"/>
        </w:rPr>
        <w:tab/>
      </w:r>
      <w:r w:rsidR="00C07F06" w:rsidRPr="00571880">
        <w:rPr>
          <w:b/>
          <w:szCs w:val="24"/>
        </w:rPr>
        <w:t>WHEREAS</w:t>
      </w:r>
      <w:r w:rsidR="00C07F06" w:rsidRPr="00571880">
        <w:rPr>
          <w:szCs w:val="24"/>
        </w:rPr>
        <w:t xml:space="preserve">, the FUND provides </w:t>
      </w:r>
      <w:r w:rsidR="00667F20" w:rsidRPr="00571880">
        <w:rPr>
          <w:szCs w:val="24"/>
        </w:rPr>
        <w:t xml:space="preserve">the MUNICIPALITY with Fund </w:t>
      </w:r>
      <w:r w:rsidR="00C07F06" w:rsidRPr="00571880">
        <w:rPr>
          <w:szCs w:val="24"/>
        </w:rPr>
        <w:t>Administration, Claims</w:t>
      </w:r>
      <w:r w:rsidR="00667F20" w:rsidRPr="00571880">
        <w:rPr>
          <w:szCs w:val="24"/>
        </w:rPr>
        <w:t xml:space="preserve"> Review, Claims Processing, Claims Administration, Actuarial</w:t>
      </w:r>
      <w:r w:rsidR="007A40EF" w:rsidRPr="00571880">
        <w:rPr>
          <w:szCs w:val="24"/>
        </w:rPr>
        <w:t>,</w:t>
      </w:r>
      <w:r w:rsidR="00667F20" w:rsidRPr="00571880">
        <w:rPr>
          <w:szCs w:val="24"/>
        </w:rPr>
        <w:t xml:space="preserve"> and Legal services; and</w:t>
      </w:r>
    </w:p>
    <w:p w14:paraId="6C7DD987" w14:textId="125BB74C" w:rsidR="00D20776" w:rsidRPr="00571880" w:rsidRDefault="00B24C11" w:rsidP="00B24C11">
      <w:pPr>
        <w:pStyle w:val="BodyText"/>
        <w:spacing w:before="120" w:after="120"/>
        <w:rPr>
          <w:szCs w:val="24"/>
        </w:rPr>
      </w:pPr>
      <w:r w:rsidRPr="00571880">
        <w:rPr>
          <w:szCs w:val="24"/>
        </w:rPr>
        <w:tab/>
      </w:r>
      <w:r w:rsidR="002F161B" w:rsidRPr="00571880">
        <w:rPr>
          <w:b/>
          <w:szCs w:val="24"/>
        </w:rPr>
        <w:t>WHEREAS</w:t>
      </w:r>
      <w:r w:rsidR="002F161B" w:rsidRPr="00571880">
        <w:rPr>
          <w:szCs w:val="24"/>
        </w:rPr>
        <w:t xml:space="preserve">, the FUND is one of the most financially </w:t>
      </w:r>
      <w:r w:rsidR="007626B5" w:rsidRPr="00571880">
        <w:rPr>
          <w:szCs w:val="24"/>
        </w:rPr>
        <w:t xml:space="preserve">sound </w:t>
      </w:r>
      <w:r w:rsidR="00D20776" w:rsidRPr="00571880">
        <w:rPr>
          <w:szCs w:val="24"/>
        </w:rPr>
        <w:t xml:space="preserve">Municipal Joint Insurance Funds </w:t>
      </w:r>
      <w:r w:rsidR="002F161B" w:rsidRPr="00571880">
        <w:rPr>
          <w:szCs w:val="24"/>
        </w:rPr>
        <w:t>in New Jersey</w:t>
      </w:r>
      <w:r w:rsidR="00D20776" w:rsidRPr="00571880">
        <w:rPr>
          <w:szCs w:val="24"/>
        </w:rPr>
        <w:t>,</w:t>
      </w:r>
      <w:r w:rsidR="002F161B" w:rsidRPr="00571880">
        <w:rPr>
          <w:szCs w:val="24"/>
        </w:rPr>
        <w:t xml:space="preserve"> and </w:t>
      </w:r>
      <w:r w:rsidR="00D20776" w:rsidRPr="00571880">
        <w:rPr>
          <w:szCs w:val="24"/>
        </w:rPr>
        <w:t xml:space="preserve">the FUND </w:t>
      </w:r>
      <w:r w:rsidR="002F161B" w:rsidRPr="00571880">
        <w:rPr>
          <w:szCs w:val="24"/>
        </w:rPr>
        <w:t xml:space="preserve">operates with </w:t>
      </w:r>
      <w:r w:rsidR="007626B5" w:rsidRPr="00571880">
        <w:rPr>
          <w:szCs w:val="24"/>
        </w:rPr>
        <w:t xml:space="preserve">strong </w:t>
      </w:r>
      <w:r w:rsidR="002F161B" w:rsidRPr="00571880">
        <w:rPr>
          <w:szCs w:val="24"/>
        </w:rPr>
        <w:t xml:space="preserve">fiscal controls, member oversight, and </w:t>
      </w:r>
      <w:r w:rsidR="007626B5" w:rsidRPr="00571880">
        <w:rPr>
          <w:szCs w:val="24"/>
        </w:rPr>
        <w:t xml:space="preserve">meets all of the requirements promulgated by the </w:t>
      </w:r>
      <w:r w:rsidR="00D20776" w:rsidRPr="00571880">
        <w:rPr>
          <w:szCs w:val="24"/>
        </w:rPr>
        <w:t xml:space="preserve">New Jersey </w:t>
      </w:r>
      <w:r w:rsidR="007626B5" w:rsidRPr="00571880">
        <w:rPr>
          <w:szCs w:val="24"/>
        </w:rPr>
        <w:t>Department of Community Affairs and the Department of Banking and Insurance</w:t>
      </w:r>
      <w:r w:rsidR="002F161B" w:rsidRPr="00571880">
        <w:rPr>
          <w:szCs w:val="24"/>
        </w:rPr>
        <w:t>; and</w:t>
      </w:r>
    </w:p>
    <w:p w14:paraId="330F0382" w14:textId="63938C8A" w:rsidR="00C07F06" w:rsidRPr="00571880" w:rsidRDefault="00B24C11" w:rsidP="00B24C11">
      <w:pPr>
        <w:pStyle w:val="BodyText"/>
        <w:spacing w:before="120" w:after="120"/>
        <w:rPr>
          <w:szCs w:val="24"/>
        </w:rPr>
      </w:pPr>
      <w:r w:rsidRPr="00571880">
        <w:rPr>
          <w:szCs w:val="24"/>
        </w:rPr>
        <w:tab/>
      </w:r>
      <w:r w:rsidR="00AA3F76" w:rsidRPr="00571880">
        <w:rPr>
          <w:b/>
          <w:szCs w:val="24"/>
        </w:rPr>
        <w:t>WHEREAS</w:t>
      </w:r>
      <w:r w:rsidR="00AA3F76" w:rsidRPr="00571880">
        <w:rPr>
          <w:szCs w:val="24"/>
        </w:rPr>
        <w:t>, as an existing member of the FUND</w:t>
      </w:r>
      <w:r w:rsidR="00BA7F54" w:rsidRPr="00571880">
        <w:rPr>
          <w:szCs w:val="24"/>
        </w:rPr>
        <w:t>,</w:t>
      </w:r>
      <w:r w:rsidR="00D20776" w:rsidRPr="00571880">
        <w:rPr>
          <w:szCs w:val="24"/>
        </w:rPr>
        <w:t xml:space="preserve"> the MUNICIPALITY </w:t>
      </w:r>
      <w:r w:rsidR="00D01A92" w:rsidRPr="00571880">
        <w:rPr>
          <w:szCs w:val="24"/>
        </w:rPr>
        <w:t>would be</w:t>
      </w:r>
      <w:r w:rsidR="00AA3F76" w:rsidRPr="00571880">
        <w:rPr>
          <w:szCs w:val="24"/>
        </w:rPr>
        <w:t xml:space="preserve"> </w:t>
      </w:r>
      <w:r w:rsidR="00BA7F54" w:rsidRPr="00571880">
        <w:rPr>
          <w:szCs w:val="24"/>
        </w:rPr>
        <w:t>renewing its membership</w:t>
      </w:r>
      <w:r w:rsidR="00AA3F76" w:rsidRPr="00571880">
        <w:rPr>
          <w:szCs w:val="24"/>
        </w:rPr>
        <w:t xml:space="preserve"> </w:t>
      </w:r>
      <w:r w:rsidR="00BA7F54" w:rsidRPr="00571880">
        <w:rPr>
          <w:szCs w:val="24"/>
        </w:rPr>
        <w:t xml:space="preserve">in an organization </w:t>
      </w:r>
      <w:r w:rsidR="007626B5" w:rsidRPr="00571880">
        <w:rPr>
          <w:szCs w:val="24"/>
        </w:rPr>
        <w:t xml:space="preserve">with experienced </w:t>
      </w:r>
      <w:r w:rsidR="00C07F06" w:rsidRPr="00571880">
        <w:rPr>
          <w:szCs w:val="24"/>
        </w:rPr>
        <w:t xml:space="preserve">and dedicated </w:t>
      </w:r>
      <w:r w:rsidR="00CE5F24" w:rsidRPr="00571880">
        <w:rPr>
          <w:szCs w:val="24"/>
        </w:rPr>
        <w:t xml:space="preserve">FUND </w:t>
      </w:r>
      <w:r w:rsidR="004539DC" w:rsidRPr="00571880">
        <w:rPr>
          <w:szCs w:val="24"/>
        </w:rPr>
        <w:t>P</w:t>
      </w:r>
      <w:r w:rsidR="00CE5F24" w:rsidRPr="00571880">
        <w:rPr>
          <w:szCs w:val="24"/>
        </w:rPr>
        <w:t>rofessionals</w:t>
      </w:r>
      <w:r w:rsidR="00C07F06" w:rsidRPr="00571880">
        <w:rPr>
          <w:szCs w:val="24"/>
        </w:rPr>
        <w:t xml:space="preserve"> who provide specialized services to the members; and</w:t>
      </w:r>
    </w:p>
    <w:p w14:paraId="6206689E" w14:textId="2E83713C" w:rsidR="00AA3F76" w:rsidRPr="00571880" w:rsidRDefault="00B24C11" w:rsidP="00B24C11">
      <w:pPr>
        <w:pStyle w:val="BodyText"/>
        <w:spacing w:before="120" w:after="120"/>
        <w:rPr>
          <w:szCs w:val="24"/>
        </w:rPr>
      </w:pPr>
      <w:r w:rsidRPr="00571880">
        <w:rPr>
          <w:szCs w:val="24"/>
        </w:rPr>
        <w:tab/>
      </w:r>
      <w:r w:rsidR="00C07F06" w:rsidRPr="00571880">
        <w:rPr>
          <w:b/>
          <w:szCs w:val="24"/>
        </w:rPr>
        <w:t>WHEREAS</w:t>
      </w:r>
      <w:r w:rsidR="00C07F06" w:rsidRPr="00571880">
        <w:rPr>
          <w:szCs w:val="24"/>
        </w:rPr>
        <w:t>,</w:t>
      </w:r>
      <w:r w:rsidR="007626B5" w:rsidRPr="00571880">
        <w:rPr>
          <w:szCs w:val="24"/>
        </w:rPr>
        <w:t xml:space="preserve"> </w:t>
      </w:r>
      <w:r w:rsidR="00C07F06" w:rsidRPr="00571880">
        <w:rPr>
          <w:szCs w:val="24"/>
        </w:rPr>
        <w:t>the</w:t>
      </w:r>
      <w:r w:rsidR="00BA7F54" w:rsidRPr="00571880">
        <w:rPr>
          <w:szCs w:val="24"/>
        </w:rPr>
        <w:t xml:space="preserve"> membership </w:t>
      </w:r>
      <w:r w:rsidR="00C07F06" w:rsidRPr="00571880">
        <w:rPr>
          <w:szCs w:val="24"/>
        </w:rPr>
        <w:t xml:space="preserve">of the FUND </w:t>
      </w:r>
      <w:r w:rsidR="00BA7F54" w:rsidRPr="00571880">
        <w:rPr>
          <w:szCs w:val="24"/>
        </w:rPr>
        <w:t xml:space="preserve">includes many </w:t>
      </w:r>
      <w:r w:rsidR="00AA3F76" w:rsidRPr="00571880">
        <w:rPr>
          <w:szCs w:val="24"/>
        </w:rPr>
        <w:t>neighboring municipalities</w:t>
      </w:r>
      <w:r w:rsidR="00C07F06" w:rsidRPr="00571880">
        <w:rPr>
          <w:szCs w:val="24"/>
        </w:rPr>
        <w:t xml:space="preserve"> that </w:t>
      </w:r>
      <w:r w:rsidR="00A306A6" w:rsidRPr="00571880">
        <w:rPr>
          <w:szCs w:val="24"/>
        </w:rPr>
        <w:t xml:space="preserve">have </w:t>
      </w:r>
      <w:r w:rsidR="00DC38EA" w:rsidRPr="00571880">
        <w:rPr>
          <w:szCs w:val="24"/>
        </w:rPr>
        <w:t xml:space="preserve">uniquely </w:t>
      </w:r>
      <w:r w:rsidR="00BA7F54" w:rsidRPr="00571880">
        <w:rPr>
          <w:szCs w:val="24"/>
        </w:rPr>
        <w:t xml:space="preserve">similar exposures </w:t>
      </w:r>
      <w:r w:rsidR="00C07F06" w:rsidRPr="00571880">
        <w:rPr>
          <w:szCs w:val="24"/>
        </w:rPr>
        <w:t xml:space="preserve">to the MUNICIPALITY, </w:t>
      </w:r>
      <w:r w:rsidR="00BA7F54" w:rsidRPr="00571880">
        <w:rPr>
          <w:szCs w:val="24"/>
        </w:rPr>
        <w:t>and</w:t>
      </w:r>
      <w:r w:rsidR="00C07F06" w:rsidRPr="00571880">
        <w:rPr>
          <w:szCs w:val="24"/>
        </w:rPr>
        <w:t xml:space="preserve"> with whom the MUNICIPALITY has</w:t>
      </w:r>
      <w:r w:rsidR="00BA7F54" w:rsidRPr="00571880">
        <w:rPr>
          <w:szCs w:val="24"/>
        </w:rPr>
        <w:t xml:space="preserve"> existing inter</w:t>
      </w:r>
      <w:r w:rsidR="00C07F06" w:rsidRPr="00571880">
        <w:rPr>
          <w:szCs w:val="24"/>
        </w:rPr>
        <w:t>-</w:t>
      </w:r>
      <w:r w:rsidR="00BA7F54" w:rsidRPr="00571880">
        <w:rPr>
          <w:szCs w:val="24"/>
        </w:rPr>
        <w:t>local arrangements; and</w:t>
      </w:r>
    </w:p>
    <w:p w14:paraId="2AE85FCC" w14:textId="039BE23E" w:rsidR="00CE5F24" w:rsidRPr="00571880" w:rsidRDefault="00B24C11" w:rsidP="00B24C11">
      <w:pPr>
        <w:pStyle w:val="BodyText"/>
        <w:spacing w:before="120" w:after="120"/>
        <w:rPr>
          <w:szCs w:val="24"/>
        </w:rPr>
      </w:pPr>
      <w:r w:rsidRPr="00571880">
        <w:rPr>
          <w:szCs w:val="24"/>
        </w:rPr>
        <w:tab/>
      </w:r>
      <w:r w:rsidR="00C07F06" w:rsidRPr="00571880">
        <w:rPr>
          <w:b/>
          <w:szCs w:val="24"/>
        </w:rPr>
        <w:t>WHEREAS</w:t>
      </w:r>
      <w:r w:rsidR="00C07F06" w:rsidRPr="00571880">
        <w:rPr>
          <w:szCs w:val="24"/>
        </w:rPr>
        <w:t>, all</w:t>
      </w:r>
      <w:r w:rsidR="00CE5F24" w:rsidRPr="00571880">
        <w:rPr>
          <w:szCs w:val="24"/>
        </w:rPr>
        <w:t xml:space="preserve"> of the aforementioned factors</w:t>
      </w:r>
      <w:r w:rsidR="006F47D0" w:rsidRPr="00571880">
        <w:rPr>
          <w:szCs w:val="24"/>
        </w:rPr>
        <w:t xml:space="preserve"> categorize the</w:t>
      </w:r>
      <w:r w:rsidR="00981135" w:rsidRPr="00571880">
        <w:rPr>
          <w:szCs w:val="24"/>
        </w:rPr>
        <w:t xml:space="preserve"> award of this Contract as an “e</w:t>
      </w:r>
      <w:r w:rsidR="006F47D0" w:rsidRPr="00571880">
        <w:rPr>
          <w:szCs w:val="24"/>
        </w:rPr>
        <w:t>xtraordinary, unspecifiable service” that</w:t>
      </w:r>
      <w:r w:rsidR="00CE5F24" w:rsidRPr="00571880">
        <w:rPr>
          <w:szCs w:val="24"/>
        </w:rPr>
        <w:t xml:space="preserve"> cannot be </w:t>
      </w:r>
      <w:r w:rsidR="006F47D0" w:rsidRPr="00571880">
        <w:rPr>
          <w:szCs w:val="24"/>
        </w:rPr>
        <w:t xml:space="preserve">duplicated, </w:t>
      </w:r>
      <w:r w:rsidR="00CE5F24" w:rsidRPr="00571880">
        <w:rPr>
          <w:szCs w:val="24"/>
        </w:rPr>
        <w:t>accounted for, accurately detailed, or described in a</w:t>
      </w:r>
      <w:r w:rsidR="006F47D0" w:rsidRPr="00571880">
        <w:rPr>
          <w:szCs w:val="24"/>
        </w:rPr>
        <w:t xml:space="preserve"> manner that truly depicts the value of</w:t>
      </w:r>
      <w:r w:rsidR="00CE5F24" w:rsidRPr="00571880">
        <w:rPr>
          <w:szCs w:val="24"/>
        </w:rPr>
        <w:t xml:space="preserve"> the </w:t>
      </w:r>
      <w:r w:rsidR="006F47D0" w:rsidRPr="00571880">
        <w:rPr>
          <w:szCs w:val="24"/>
        </w:rPr>
        <w:t xml:space="preserve">MUNICIPALITY’S </w:t>
      </w:r>
      <w:r w:rsidR="00CE5F24" w:rsidRPr="00571880">
        <w:rPr>
          <w:szCs w:val="24"/>
        </w:rPr>
        <w:t>membership</w:t>
      </w:r>
      <w:r w:rsidR="00162BA0" w:rsidRPr="00571880">
        <w:rPr>
          <w:szCs w:val="24"/>
        </w:rPr>
        <w:t xml:space="preserve"> in the FUND</w:t>
      </w:r>
      <w:r w:rsidR="00CE5F24" w:rsidRPr="00571880">
        <w:rPr>
          <w:szCs w:val="24"/>
        </w:rPr>
        <w:t>; and</w:t>
      </w:r>
    </w:p>
    <w:p w14:paraId="2FAFEC41" w14:textId="0E431707" w:rsidR="00BA7F54" w:rsidRPr="00571880" w:rsidRDefault="00B24C11" w:rsidP="00B24C11">
      <w:pPr>
        <w:pStyle w:val="BodyText"/>
        <w:spacing w:before="120" w:after="120"/>
        <w:rPr>
          <w:szCs w:val="24"/>
        </w:rPr>
      </w:pPr>
      <w:r w:rsidRPr="00571880">
        <w:rPr>
          <w:szCs w:val="24"/>
        </w:rPr>
        <w:tab/>
      </w:r>
      <w:r w:rsidR="00BA7F54" w:rsidRPr="00571880">
        <w:rPr>
          <w:b/>
          <w:szCs w:val="24"/>
        </w:rPr>
        <w:t>WHEREAS</w:t>
      </w:r>
      <w:r w:rsidR="00BA7F54" w:rsidRPr="00571880">
        <w:rPr>
          <w:szCs w:val="24"/>
        </w:rPr>
        <w:t>, for all of the a</w:t>
      </w:r>
      <w:r w:rsidR="006F47D0" w:rsidRPr="00571880">
        <w:rPr>
          <w:szCs w:val="24"/>
        </w:rPr>
        <w:t>forementioned reasons</w:t>
      </w:r>
      <w:r w:rsidR="00981135" w:rsidRPr="00571880">
        <w:rPr>
          <w:szCs w:val="24"/>
        </w:rPr>
        <w:t>,</w:t>
      </w:r>
      <w:r w:rsidR="006F47D0" w:rsidRPr="00571880">
        <w:rPr>
          <w:szCs w:val="24"/>
        </w:rPr>
        <w:t xml:space="preserve"> it is im</w:t>
      </w:r>
      <w:r w:rsidR="00BA7F54" w:rsidRPr="00571880">
        <w:rPr>
          <w:szCs w:val="24"/>
        </w:rPr>
        <w:t>pra</w:t>
      </w:r>
      <w:r w:rsidR="00652C01" w:rsidRPr="00571880">
        <w:rPr>
          <w:szCs w:val="24"/>
        </w:rPr>
        <w:t xml:space="preserve">cticable for the MUNICIPALITY </w:t>
      </w:r>
      <w:r w:rsidR="00162BA0" w:rsidRPr="00571880">
        <w:rPr>
          <w:szCs w:val="24"/>
        </w:rPr>
        <w:t>to seek competitive quotations</w:t>
      </w:r>
      <w:r w:rsidR="00BA7F54" w:rsidRPr="00571880">
        <w:rPr>
          <w:szCs w:val="24"/>
        </w:rPr>
        <w:t xml:space="preserve"> for </w:t>
      </w:r>
      <w:r w:rsidR="00162BA0" w:rsidRPr="00571880">
        <w:rPr>
          <w:szCs w:val="24"/>
        </w:rPr>
        <w:t xml:space="preserve">a Contract to provide </w:t>
      </w:r>
      <w:r w:rsidR="00BA7F54" w:rsidRPr="00571880">
        <w:rPr>
          <w:szCs w:val="24"/>
        </w:rPr>
        <w:t>th</w:t>
      </w:r>
      <w:r w:rsidR="00162BA0" w:rsidRPr="00571880">
        <w:rPr>
          <w:szCs w:val="24"/>
        </w:rPr>
        <w:t>e procurement of insurance</w:t>
      </w:r>
      <w:r w:rsidR="00BA7F54" w:rsidRPr="00571880">
        <w:rPr>
          <w:szCs w:val="24"/>
        </w:rPr>
        <w:t xml:space="preserve"> coverage</w:t>
      </w:r>
      <w:r w:rsidR="00162BA0" w:rsidRPr="00571880">
        <w:rPr>
          <w:szCs w:val="24"/>
        </w:rPr>
        <w:t xml:space="preserve"> and consultant services</w:t>
      </w:r>
      <w:r w:rsidR="00BA7F54" w:rsidRPr="00571880">
        <w:rPr>
          <w:szCs w:val="24"/>
        </w:rPr>
        <w:t>; and</w:t>
      </w:r>
    </w:p>
    <w:p w14:paraId="0B07369C" w14:textId="3ED72B5A" w:rsidR="00BA7F54" w:rsidRPr="00571880" w:rsidRDefault="00B24C11" w:rsidP="00B24C11">
      <w:pPr>
        <w:pStyle w:val="BodyText"/>
        <w:spacing w:before="120" w:after="120"/>
        <w:rPr>
          <w:szCs w:val="24"/>
        </w:rPr>
      </w:pPr>
      <w:r w:rsidRPr="00571880">
        <w:rPr>
          <w:szCs w:val="24"/>
        </w:rPr>
        <w:tab/>
      </w:r>
      <w:r w:rsidR="00BA7F54" w:rsidRPr="00571880">
        <w:rPr>
          <w:b/>
          <w:szCs w:val="24"/>
        </w:rPr>
        <w:t>WHEREAS</w:t>
      </w:r>
      <w:r w:rsidR="00BA7F54" w:rsidRPr="00571880">
        <w:rPr>
          <w:szCs w:val="24"/>
        </w:rPr>
        <w:t xml:space="preserve">, the </w:t>
      </w:r>
      <w:r w:rsidR="004539DC" w:rsidRPr="00571880">
        <w:rPr>
          <w:szCs w:val="24"/>
        </w:rPr>
        <w:t>FUND</w:t>
      </w:r>
      <w:r w:rsidR="00BA7F54" w:rsidRPr="00571880">
        <w:rPr>
          <w:szCs w:val="24"/>
        </w:rPr>
        <w:t xml:space="preserve"> has been organized pursuant to N.J.S.A. 40A:10</w:t>
      </w:r>
      <w:r w:rsidR="00BA7F54" w:rsidRPr="00571880">
        <w:rPr>
          <w:szCs w:val="24"/>
        </w:rPr>
        <w:noBreakHyphen/>
        <w:t>36 et seq., and</w:t>
      </w:r>
      <w:r w:rsidR="00D2625E" w:rsidRPr="00571880">
        <w:rPr>
          <w:szCs w:val="24"/>
        </w:rPr>
        <w:t xml:space="preserve"> as such is an agency of the municipalities that created it; and </w:t>
      </w:r>
    </w:p>
    <w:p w14:paraId="2EC6AC9B" w14:textId="5FA7044B" w:rsidR="00D2625E" w:rsidRPr="00571880" w:rsidRDefault="00B24C11" w:rsidP="00B24C11">
      <w:pPr>
        <w:pStyle w:val="BodyText"/>
        <w:spacing w:before="120" w:after="120"/>
        <w:rPr>
          <w:szCs w:val="24"/>
        </w:rPr>
      </w:pPr>
      <w:r w:rsidRPr="00571880">
        <w:rPr>
          <w:szCs w:val="24"/>
        </w:rPr>
        <w:tab/>
      </w:r>
      <w:r w:rsidR="00D2625E" w:rsidRPr="00571880">
        <w:rPr>
          <w:b/>
          <w:szCs w:val="24"/>
        </w:rPr>
        <w:t>WHEREAS</w:t>
      </w:r>
      <w:r w:rsidR="00D2625E" w:rsidRPr="00571880">
        <w:rPr>
          <w:szCs w:val="24"/>
        </w:rPr>
        <w:t>, N.J.S.A. 40A:11-5(2) also</w:t>
      </w:r>
      <w:r w:rsidR="00162BA0" w:rsidRPr="00571880">
        <w:rPr>
          <w:szCs w:val="24"/>
        </w:rPr>
        <w:t xml:space="preserve"> provides that a Contract which exceeds the bid threshold may be negotiated and awarded by the governing body without public advertising for bids and bidding therefor, if the Contract</w:t>
      </w:r>
      <w:r w:rsidR="00D2625E" w:rsidRPr="00571880">
        <w:rPr>
          <w:szCs w:val="24"/>
        </w:rPr>
        <w:t xml:space="preserve"> is entered into with a municipality or any board, body, officer, agency </w:t>
      </w:r>
      <w:r w:rsidR="00162BA0" w:rsidRPr="00571880">
        <w:rPr>
          <w:szCs w:val="24"/>
        </w:rPr>
        <w:t>or authority thereof</w:t>
      </w:r>
      <w:r w:rsidR="00D01A92" w:rsidRPr="00571880">
        <w:rPr>
          <w:szCs w:val="24"/>
        </w:rPr>
        <w:t>; and</w:t>
      </w:r>
    </w:p>
    <w:p w14:paraId="16D8770D" w14:textId="255CA0F7" w:rsidR="00D01A92" w:rsidRPr="00571880" w:rsidRDefault="00B24C11" w:rsidP="00B24C11">
      <w:pPr>
        <w:pStyle w:val="BodyText"/>
        <w:spacing w:before="120" w:after="120"/>
        <w:rPr>
          <w:szCs w:val="24"/>
        </w:rPr>
      </w:pPr>
      <w:r w:rsidRPr="00571880">
        <w:rPr>
          <w:szCs w:val="24"/>
        </w:rPr>
        <w:tab/>
      </w:r>
      <w:r w:rsidR="00D01A92" w:rsidRPr="00571880">
        <w:rPr>
          <w:b/>
          <w:szCs w:val="24"/>
        </w:rPr>
        <w:t>WHEREAS</w:t>
      </w:r>
      <w:r w:rsidR="00D01A92" w:rsidRPr="00571880">
        <w:rPr>
          <w:szCs w:val="24"/>
        </w:rPr>
        <w:t xml:space="preserve">, the </w:t>
      </w:r>
      <w:r w:rsidR="004539DC" w:rsidRPr="00571880">
        <w:rPr>
          <w:szCs w:val="24"/>
        </w:rPr>
        <w:t>FUND</w:t>
      </w:r>
      <w:r w:rsidR="00D01A92" w:rsidRPr="00571880">
        <w:rPr>
          <w:szCs w:val="24"/>
        </w:rPr>
        <w:t xml:space="preserve"> meets the definitio</w:t>
      </w:r>
      <w:r w:rsidR="00162BA0" w:rsidRPr="00571880">
        <w:rPr>
          <w:szCs w:val="24"/>
        </w:rPr>
        <w:t>n of an agency as set forth in</w:t>
      </w:r>
      <w:r w:rsidR="00D01A92" w:rsidRPr="00571880">
        <w:rPr>
          <w:szCs w:val="24"/>
        </w:rPr>
        <w:t xml:space="preserve"> N.J.S.A. 40A:11-5(2); and</w:t>
      </w:r>
    </w:p>
    <w:p w14:paraId="095BDECE" w14:textId="6D97F6E6" w:rsidR="00D67C1A" w:rsidRPr="00571880" w:rsidRDefault="00B24C11" w:rsidP="00B24C11">
      <w:pPr>
        <w:pStyle w:val="BodyText"/>
        <w:spacing w:before="120" w:after="120"/>
        <w:rPr>
          <w:szCs w:val="24"/>
        </w:rPr>
      </w:pPr>
      <w:r w:rsidRPr="00571880">
        <w:rPr>
          <w:szCs w:val="24"/>
        </w:rPr>
        <w:tab/>
      </w:r>
      <w:r w:rsidR="00D67C1A" w:rsidRPr="00571880">
        <w:rPr>
          <w:b/>
          <w:szCs w:val="24"/>
        </w:rPr>
        <w:t>WHEREAS</w:t>
      </w:r>
      <w:r w:rsidR="00D67C1A" w:rsidRPr="00571880">
        <w:rPr>
          <w:szCs w:val="24"/>
        </w:rPr>
        <w:t>,</w:t>
      </w:r>
      <w:r w:rsidR="00D2625E" w:rsidRPr="00571880">
        <w:rPr>
          <w:szCs w:val="24"/>
        </w:rPr>
        <w:t xml:space="preserve"> for all of the aforementioned</w:t>
      </w:r>
      <w:r w:rsidR="00AA57C9" w:rsidRPr="00571880">
        <w:rPr>
          <w:szCs w:val="24"/>
        </w:rPr>
        <w:t xml:space="preserve"> reasons</w:t>
      </w:r>
      <w:r w:rsidR="00981135" w:rsidRPr="00571880">
        <w:rPr>
          <w:szCs w:val="24"/>
        </w:rPr>
        <w:t>,</w:t>
      </w:r>
      <w:r w:rsidR="00D67C1A" w:rsidRPr="00571880">
        <w:rPr>
          <w:szCs w:val="24"/>
        </w:rPr>
        <w:t xml:space="preserve"> </w:t>
      </w:r>
      <w:r w:rsidR="00162BA0" w:rsidRPr="00571880">
        <w:rPr>
          <w:szCs w:val="24"/>
        </w:rPr>
        <w:t>the MUNICIPALITY</w:t>
      </w:r>
      <w:r w:rsidR="00D67C1A" w:rsidRPr="00571880">
        <w:rPr>
          <w:szCs w:val="24"/>
        </w:rPr>
        <w:t xml:space="preserve"> desires to </w:t>
      </w:r>
      <w:r w:rsidR="00981135" w:rsidRPr="00571880">
        <w:rPr>
          <w:szCs w:val="24"/>
        </w:rPr>
        <w:t xml:space="preserve">enter into a Contract to </w:t>
      </w:r>
      <w:r w:rsidR="00D67C1A" w:rsidRPr="00571880">
        <w:rPr>
          <w:szCs w:val="24"/>
        </w:rPr>
        <w:t xml:space="preserve">renew </w:t>
      </w:r>
      <w:r w:rsidR="00AA57C9" w:rsidRPr="00571880">
        <w:rPr>
          <w:szCs w:val="24"/>
        </w:rPr>
        <w:t>its</w:t>
      </w:r>
      <w:r w:rsidR="00D67C1A" w:rsidRPr="00571880">
        <w:rPr>
          <w:szCs w:val="24"/>
        </w:rPr>
        <w:t xml:space="preserve"> membership</w:t>
      </w:r>
      <w:r w:rsidR="00AA57C9" w:rsidRPr="00571880">
        <w:rPr>
          <w:szCs w:val="24"/>
        </w:rPr>
        <w:t xml:space="preserve"> with the FUND</w:t>
      </w:r>
      <w:r w:rsidR="00D01A92" w:rsidRPr="00571880">
        <w:rPr>
          <w:szCs w:val="24"/>
        </w:rPr>
        <w:t xml:space="preserve"> for a period of three (3) years</w:t>
      </w:r>
      <w:r w:rsidR="00981135" w:rsidRPr="00571880">
        <w:rPr>
          <w:szCs w:val="24"/>
        </w:rPr>
        <w:t xml:space="preserve">, for insurance </w:t>
      </w:r>
      <w:r w:rsidR="00981135" w:rsidRPr="00571880">
        <w:rPr>
          <w:szCs w:val="24"/>
        </w:rPr>
        <w:lastRenderedPageBreak/>
        <w:t>coverage and consultant services, as an exception to the public bidding requirements of the Local Public Contracts Law</w:t>
      </w:r>
      <w:r w:rsidR="003240AC" w:rsidRPr="00571880">
        <w:rPr>
          <w:szCs w:val="24"/>
        </w:rPr>
        <w:t>.</w:t>
      </w:r>
    </w:p>
    <w:p w14:paraId="247F3757" w14:textId="79E7C738" w:rsidR="00934EA5" w:rsidRPr="00571880" w:rsidRDefault="00B24C11" w:rsidP="00B24C11">
      <w:pPr>
        <w:tabs>
          <w:tab w:val="left" w:pos="-720"/>
        </w:tabs>
        <w:suppressAutoHyphens/>
        <w:spacing w:before="120" w:after="120"/>
        <w:jc w:val="both"/>
        <w:rPr>
          <w:spacing w:val="-3"/>
          <w:szCs w:val="24"/>
        </w:rPr>
      </w:pPr>
      <w:r w:rsidRPr="00571880">
        <w:rPr>
          <w:spacing w:val="-3"/>
          <w:szCs w:val="24"/>
        </w:rPr>
        <w:tab/>
      </w:r>
      <w:r w:rsidR="00D67C1A" w:rsidRPr="00571880">
        <w:rPr>
          <w:b/>
          <w:spacing w:val="-3"/>
          <w:szCs w:val="24"/>
        </w:rPr>
        <w:t>NOW THEREFORE</w:t>
      </w:r>
      <w:r w:rsidR="00D67C1A" w:rsidRPr="00571880">
        <w:rPr>
          <w:spacing w:val="-3"/>
          <w:szCs w:val="24"/>
        </w:rPr>
        <w:t xml:space="preserve">, be it resolved </w:t>
      </w:r>
      <w:r w:rsidR="003240AC" w:rsidRPr="00571880">
        <w:rPr>
          <w:spacing w:val="-3"/>
          <w:szCs w:val="24"/>
        </w:rPr>
        <w:t xml:space="preserve">by the governing body of the MUNICIPALITY </w:t>
      </w:r>
      <w:r w:rsidR="00D67C1A" w:rsidRPr="00571880">
        <w:rPr>
          <w:spacing w:val="-3"/>
          <w:szCs w:val="24"/>
        </w:rPr>
        <w:t>as follows:</w:t>
      </w:r>
    </w:p>
    <w:p w14:paraId="3F7AC86A" w14:textId="77777777" w:rsidR="00D67C1A" w:rsidRPr="00571880" w:rsidRDefault="00162BA0" w:rsidP="00B24C11">
      <w:pPr>
        <w:tabs>
          <w:tab w:val="left" w:pos="-720"/>
        </w:tabs>
        <w:suppressAutoHyphens/>
        <w:spacing w:before="120" w:after="120"/>
        <w:ind w:left="720" w:hanging="720"/>
        <w:jc w:val="both"/>
        <w:rPr>
          <w:spacing w:val="-3"/>
          <w:szCs w:val="24"/>
        </w:rPr>
      </w:pPr>
      <w:r w:rsidRPr="00571880">
        <w:rPr>
          <w:szCs w:val="24"/>
        </w:rPr>
        <w:t>1.</w:t>
      </w:r>
      <w:r w:rsidRPr="00571880">
        <w:rPr>
          <w:szCs w:val="24"/>
        </w:rPr>
        <w:tab/>
        <w:t>The MUNICIPALITY</w:t>
      </w:r>
      <w:r w:rsidR="00D67C1A" w:rsidRPr="00571880">
        <w:rPr>
          <w:szCs w:val="24"/>
        </w:rPr>
        <w:t xml:space="preserve"> agrees to renew its membership in the FUND and to be subject to the Bylaws, Rules and Regulations, coverages, and operating procedures thereof as presently existing or as modified from time to time by lawful act of the FUND.</w:t>
      </w:r>
    </w:p>
    <w:p w14:paraId="6467731B" w14:textId="77777777" w:rsidR="00D67C1A" w:rsidRPr="00571880" w:rsidRDefault="003240AC" w:rsidP="00B24C11">
      <w:pPr>
        <w:pStyle w:val="BodyTextIndent"/>
        <w:spacing w:before="120"/>
        <w:rPr>
          <w:szCs w:val="24"/>
        </w:rPr>
      </w:pPr>
      <w:r w:rsidRPr="00571880">
        <w:rPr>
          <w:szCs w:val="24"/>
        </w:rPr>
        <w:t>2.</w:t>
      </w:r>
      <w:r w:rsidRPr="00571880">
        <w:rPr>
          <w:szCs w:val="24"/>
        </w:rPr>
        <w:tab/>
        <w:t>The Mayor and Clerk of the MUNICIPALITY shall be and hereby are</w:t>
      </w:r>
      <w:r w:rsidR="00D67C1A" w:rsidRPr="00571880">
        <w:rPr>
          <w:szCs w:val="24"/>
        </w:rPr>
        <w:t xml:space="preserve"> auth</w:t>
      </w:r>
      <w:r w:rsidR="00162BA0" w:rsidRPr="00571880">
        <w:rPr>
          <w:szCs w:val="24"/>
        </w:rPr>
        <w:t>orized to execute the "Contract</w:t>
      </w:r>
      <w:r w:rsidR="00D67C1A" w:rsidRPr="00571880">
        <w:rPr>
          <w:szCs w:val="24"/>
        </w:rPr>
        <w:t xml:space="preserve"> to Renew Membership" annexed hereto and made a part hereof and to deliver same to the FU</w:t>
      </w:r>
      <w:r w:rsidR="00162BA0" w:rsidRPr="00571880">
        <w:rPr>
          <w:szCs w:val="24"/>
        </w:rPr>
        <w:t>ND evidencing the MUNICIPALITY’S</w:t>
      </w:r>
      <w:r w:rsidRPr="00571880">
        <w:rPr>
          <w:szCs w:val="24"/>
        </w:rPr>
        <w:t xml:space="preserve"> </w:t>
      </w:r>
      <w:r w:rsidR="00D67C1A" w:rsidRPr="00571880">
        <w:rPr>
          <w:szCs w:val="24"/>
        </w:rPr>
        <w:t>renew</w:t>
      </w:r>
      <w:r w:rsidRPr="00571880">
        <w:rPr>
          <w:szCs w:val="24"/>
        </w:rPr>
        <w:t>al of</w:t>
      </w:r>
      <w:r w:rsidR="00D67C1A" w:rsidRPr="00571880">
        <w:rPr>
          <w:szCs w:val="24"/>
        </w:rPr>
        <w:t xml:space="preserve"> its membership.</w:t>
      </w:r>
    </w:p>
    <w:p w14:paraId="6FB7C286" w14:textId="77777777" w:rsidR="00934EA5" w:rsidRPr="00571880" w:rsidRDefault="00934EA5" w:rsidP="00B24C11">
      <w:pPr>
        <w:pStyle w:val="BodyTextIndent"/>
        <w:spacing w:before="120"/>
        <w:rPr>
          <w:szCs w:val="24"/>
        </w:rPr>
      </w:pPr>
      <w:r w:rsidRPr="00571880">
        <w:rPr>
          <w:szCs w:val="24"/>
        </w:rPr>
        <w:t xml:space="preserve">3. </w:t>
      </w:r>
      <w:r w:rsidR="00841606" w:rsidRPr="00571880">
        <w:rPr>
          <w:szCs w:val="24"/>
        </w:rPr>
        <w:t xml:space="preserve">    </w:t>
      </w:r>
      <w:r w:rsidR="00841606" w:rsidRPr="00571880">
        <w:rPr>
          <w:szCs w:val="24"/>
        </w:rPr>
        <w:tab/>
        <w:t>In accordance with N.J.A.C. 5:34-2.3, the certificate of a designated official</w:t>
      </w:r>
      <w:r w:rsidRPr="00571880">
        <w:rPr>
          <w:szCs w:val="24"/>
        </w:rPr>
        <w:t xml:space="preserve"> of the MUNICIPALITY</w:t>
      </w:r>
      <w:r w:rsidR="00841606" w:rsidRPr="00571880">
        <w:rPr>
          <w:szCs w:val="24"/>
        </w:rPr>
        <w:t>, which details why the solicitation of competitive quotations is impracticable,</w:t>
      </w:r>
      <w:r w:rsidRPr="00571880">
        <w:rPr>
          <w:szCs w:val="24"/>
        </w:rPr>
        <w:t xml:space="preserve"> is attached hereto and made a part of this Resolution.</w:t>
      </w:r>
    </w:p>
    <w:p w14:paraId="77AE8836" w14:textId="77777777" w:rsidR="00934EA5" w:rsidRPr="00571880" w:rsidRDefault="003865EC" w:rsidP="00B24C11">
      <w:pPr>
        <w:pStyle w:val="BodyTextIndent"/>
        <w:spacing w:before="120"/>
        <w:rPr>
          <w:szCs w:val="24"/>
        </w:rPr>
      </w:pPr>
      <w:r w:rsidRPr="00571880">
        <w:rPr>
          <w:szCs w:val="24"/>
        </w:rPr>
        <w:t xml:space="preserve">4.        </w:t>
      </w:r>
      <w:r w:rsidRPr="00571880">
        <w:rPr>
          <w:szCs w:val="24"/>
        </w:rPr>
        <w:tab/>
        <w:t>The Clerk of the MUNICIPALITY is authorized and directed to place a notice of the adoption of this Resolution and the award of this Contract in the official newspaper of the MUNICIPALITY.</w:t>
      </w:r>
    </w:p>
    <w:p w14:paraId="7DAC716E" w14:textId="77777777" w:rsidR="003865EC" w:rsidRDefault="003865EC">
      <w:pPr>
        <w:tabs>
          <w:tab w:val="left" w:pos="-720"/>
          <w:tab w:val="left" w:pos="3600"/>
          <w:tab w:val="left" w:pos="5760"/>
          <w:tab w:val="left" w:pos="6840"/>
        </w:tabs>
        <w:suppressAutoHyphens/>
        <w:spacing w:after="120"/>
        <w:jc w:val="both"/>
        <w:rPr>
          <w:spacing w:val="-3"/>
        </w:rPr>
      </w:pPr>
    </w:p>
    <w:tbl>
      <w:tblPr>
        <w:tblpPr w:leftFromText="180" w:rightFromText="180" w:vertAnchor="text" w:horzAnchor="margin" w:tblpY="20"/>
        <w:tblW w:w="945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864"/>
        <w:gridCol w:w="656"/>
        <w:gridCol w:w="630"/>
        <w:gridCol w:w="630"/>
        <w:gridCol w:w="630"/>
        <w:gridCol w:w="2160"/>
        <w:gridCol w:w="810"/>
        <w:gridCol w:w="720"/>
        <w:gridCol w:w="720"/>
        <w:gridCol w:w="630"/>
      </w:tblGrid>
      <w:tr w:rsidR="00CA267B" w:rsidRPr="00CA267B" w14:paraId="07BDC9DA" w14:textId="77777777" w:rsidTr="00CA267B">
        <w:tc>
          <w:tcPr>
            <w:tcW w:w="1864" w:type="dxa"/>
            <w:tcBorders>
              <w:top w:val="single" w:sz="6" w:space="0" w:color="000080"/>
              <w:left w:val="single" w:sz="6" w:space="0" w:color="000080"/>
              <w:bottom w:val="single" w:sz="6" w:space="0" w:color="000080"/>
              <w:right w:val="single" w:sz="6" w:space="0" w:color="000080"/>
            </w:tcBorders>
            <w:shd w:val="solid" w:color="000080" w:fill="FFFFFF"/>
            <w:hideMark/>
          </w:tcPr>
          <w:p w14:paraId="282A5D50" w14:textId="77777777" w:rsidR="00CA267B" w:rsidRPr="00CA267B" w:rsidRDefault="00CA267B" w:rsidP="00CA267B">
            <w:pPr>
              <w:jc w:val="both"/>
              <w:rPr>
                <w:bCs/>
                <w:color w:val="auto"/>
                <w:sz w:val="20"/>
              </w:rPr>
            </w:pPr>
            <w:r w:rsidRPr="00CA267B">
              <w:rPr>
                <w:bCs/>
                <w:color w:val="auto"/>
                <w:sz w:val="20"/>
              </w:rPr>
              <w:t xml:space="preserve">           COMMITEE</w:t>
            </w:r>
          </w:p>
        </w:tc>
        <w:tc>
          <w:tcPr>
            <w:tcW w:w="656" w:type="dxa"/>
            <w:tcBorders>
              <w:top w:val="single" w:sz="6" w:space="0" w:color="000080"/>
              <w:left w:val="single" w:sz="6" w:space="0" w:color="000080"/>
              <w:bottom w:val="single" w:sz="6" w:space="0" w:color="000080"/>
              <w:right w:val="single" w:sz="6" w:space="0" w:color="000080"/>
            </w:tcBorders>
            <w:shd w:val="solid" w:color="000080" w:fill="FFFFFF"/>
            <w:hideMark/>
          </w:tcPr>
          <w:p w14:paraId="7C4A9230" w14:textId="77777777" w:rsidR="00CA267B" w:rsidRPr="00CA267B" w:rsidRDefault="00CA267B" w:rsidP="00CA267B">
            <w:pPr>
              <w:jc w:val="both"/>
              <w:rPr>
                <w:bCs/>
                <w:color w:val="auto"/>
                <w:sz w:val="20"/>
              </w:rPr>
            </w:pPr>
            <w:r w:rsidRPr="00CA267B">
              <w:rPr>
                <w:bCs/>
                <w:color w:val="auto"/>
                <w:sz w:val="20"/>
              </w:rPr>
              <w:t>YES</w:t>
            </w:r>
          </w:p>
        </w:tc>
        <w:tc>
          <w:tcPr>
            <w:tcW w:w="630" w:type="dxa"/>
            <w:tcBorders>
              <w:top w:val="single" w:sz="6" w:space="0" w:color="000080"/>
              <w:left w:val="single" w:sz="6" w:space="0" w:color="000080"/>
              <w:bottom w:val="single" w:sz="6" w:space="0" w:color="000080"/>
              <w:right w:val="single" w:sz="6" w:space="0" w:color="000080"/>
            </w:tcBorders>
            <w:shd w:val="solid" w:color="000080" w:fill="FFFFFF"/>
            <w:hideMark/>
          </w:tcPr>
          <w:p w14:paraId="53D72A41" w14:textId="77777777" w:rsidR="00CA267B" w:rsidRPr="00CA267B" w:rsidRDefault="00CA267B" w:rsidP="00CA267B">
            <w:pPr>
              <w:jc w:val="both"/>
              <w:rPr>
                <w:bCs/>
                <w:color w:val="auto"/>
                <w:sz w:val="20"/>
              </w:rPr>
            </w:pPr>
            <w:r w:rsidRPr="00CA267B">
              <w:rPr>
                <w:bCs/>
                <w:color w:val="auto"/>
                <w:sz w:val="20"/>
              </w:rPr>
              <w:t>NO</w:t>
            </w:r>
          </w:p>
        </w:tc>
        <w:tc>
          <w:tcPr>
            <w:tcW w:w="630" w:type="dxa"/>
            <w:tcBorders>
              <w:top w:val="single" w:sz="6" w:space="0" w:color="000080"/>
              <w:left w:val="single" w:sz="6" w:space="0" w:color="000080"/>
              <w:bottom w:val="single" w:sz="6" w:space="0" w:color="000080"/>
              <w:right w:val="single" w:sz="6" w:space="0" w:color="000080"/>
            </w:tcBorders>
            <w:shd w:val="solid" w:color="000080" w:fill="FFFFFF"/>
            <w:hideMark/>
          </w:tcPr>
          <w:p w14:paraId="007CF255" w14:textId="77777777" w:rsidR="00CA267B" w:rsidRPr="00CA267B" w:rsidRDefault="00CA267B" w:rsidP="00CA267B">
            <w:pPr>
              <w:jc w:val="both"/>
              <w:rPr>
                <w:bCs/>
                <w:color w:val="auto"/>
                <w:sz w:val="20"/>
              </w:rPr>
            </w:pPr>
            <w:r w:rsidRPr="00CA267B">
              <w:rPr>
                <w:bCs/>
                <w:color w:val="auto"/>
                <w:sz w:val="20"/>
              </w:rPr>
              <w:t>NV</w:t>
            </w:r>
          </w:p>
        </w:tc>
        <w:tc>
          <w:tcPr>
            <w:tcW w:w="630" w:type="dxa"/>
            <w:tcBorders>
              <w:top w:val="single" w:sz="6" w:space="0" w:color="000080"/>
              <w:left w:val="single" w:sz="6" w:space="0" w:color="000080"/>
              <w:bottom w:val="single" w:sz="6" w:space="0" w:color="000080"/>
              <w:right w:val="single" w:sz="6" w:space="0" w:color="000080"/>
            </w:tcBorders>
            <w:shd w:val="solid" w:color="000080" w:fill="FFFFFF"/>
            <w:hideMark/>
          </w:tcPr>
          <w:p w14:paraId="54695DE0" w14:textId="77777777" w:rsidR="00CA267B" w:rsidRPr="00CA267B" w:rsidRDefault="00CA267B" w:rsidP="00CA267B">
            <w:pPr>
              <w:jc w:val="both"/>
              <w:rPr>
                <w:bCs/>
                <w:color w:val="auto"/>
                <w:sz w:val="20"/>
              </w:rPr>
            </w:pPr>
            <w:r w:rsidRPr="00CA267B">
              <w:rPr>
                <w:bCs/>
                <w:color w:val="auto"/>
                <w:sz w:val="20"/>
              </w:rPr>
              <w:t>AB</w:t>
            </w:r>
          </w:p>
        </w:tc>
        <w:tc>
          <w:tcPr>
            <w:tcW w:w="2160" w:type="dxa"/>
            <w:tcBorders>
              <w:top w:val="single" w:sz="6" w:space="0" w:color="000080"/>
              <w:left w:val="single" w:sz="6" w:space="0" w:color="000080"/>
              <w:bottom w:val="single" w:sz="6" w:space="0" w:color="000080"/>
              <w:right w:val="single" w:sz="6" w:space="0" w:color="000080"/>
            </w:tcBorders>
            <w:shd w:val="solid" w:color="000080" w:fill="FFFFFF"/>
            <w:hideMark/>
          </w:tcPr>
          <w:p w14:paraId="694340A7" w14:textId="77777777" w:rsidR="00CA267B" w:rsidRPr="00CA267B" w:rsidRDefault="00CA267B" w:rsidP="00CA267B">
            <w:pPr>
              <w:jc w:val="both"/>
              <w:rPr>
                <w:bCs/>
                <w:color w:val="auto"/>
                <w:sz w:val="20"/>
              </w:rPr>
            </w:pPr>
            <w:r w:rsidRPr="00CA267B">
              <w:rPr>
                <w:bCs/>
                <w:color w:val="auto"/>
                <w:sz w:val="20"/>
              </w:rPr>
              <w:t xml:space="preserve">       COMMITTEE</w:t>
            </w:r>
          </w:p>
        </w:tc>
        <w:tc>
          <w:tcPr>
            <w:tcW w:w="810" w:type="dxa"/>
            <w:tcBorders>
              <w:top w:val="single" w:sz="6" w:space="0" w:color="000080"/>
              <w:left w:val="single" w:sz="6" w:space="0" w:color="000080"/>
              <w:bottom w:val="single" w:sz="6" w:space="0" w:color="000080"/>
              <w:right w:val="single" w:sz="6" w:space="0" w:color="000080"/>
            </w:tcBorders>
            <w:shd w:val="solid" w:color="000080" w:fill="FFFFFF"/>
            <w:hideMark/>
          </w:tcPr>
          <w:p w14:paraId="541429A6" w14:textId="77777777" w:rsidR="00CA267B" w:rsidRPr="00CA267B" w:rsidRDefault="00CA267B" w:rsidP="00CA267B">
            <w:pPr>
              <w:jc w:val="both"/>
              <w:rPr>
                <w:bCs/>
                <w:color w:val="auto"/>
                <w:sz w:val="20"/>
              </w:rPr>
            </w:pPr>
            <w:r w:rsidRPr="00CA267B">
              <w:rPr>
                <w:bCs/>
                <w:color w:val="auto"/>
                <w:sz w:val="20"/>
              </w:rPr>
              <w:t>YES</w:t>
            </w:r>
          </w:p>
        </w:tc>
        <w:tc>
          <w:tcPr>
            <w:tcW w:w="720" w:type="dxa"/>
            <w:tcBorders>
              <w:top w:val="single" w:sz="6" w:space="0" w:color="000080"/>
              <w:left w:val="single" w:sz="6" w:space="0" w:color="000080"/>
              <w:bottom w:val="single" w:sz="6" w:space="0" w:color="000080"/>
              <w:right w:val="single" w:sz="6" w:space="0" w:color="000080"/>
            </w:tcBorders>
            <w:shd w:val="solid" w:color="000080" w:fill="FFFFFF"/>
            <w:hideMark/>
          </w:tcPr>
          <w:p w14:paraId="248E9D1F" w14:textId="77777777" w:rsidR="00CA267B" w:rsidRPr="00CA267B" w:rsidRDefault="00CA267B" w:rsidP="00CA267B">
            <w:pPr>
              <w:jc w:val="both"/>
              <w:rPr>
                <w:bCs/>
                <w:color w:val="auto"/>
                <w:sz w:val="20"/>
              </w:rPr>
            </w:pPr>
            <w:r w:rsidRPr="00CA267B">
              <w:rPr>
                <w:bCs/>
                <w:color w:val="auto"/>
                <w:sz w:val="20"/>
              </w:rPr>
              <w:t>NO</w:t>
            </w:r>
          </w:p>
        </w:tc>
        <w:tc>
          <w:tcPr>
            <w:tcW w:w="720" w:type="dxa"/>
            <w:tcBorders>
              <w:top w:val="single" w:sz="6" w:space="0" w:color="000080"/>
              <w:left w:val="single" w:sz="6" w:space="0" w:color="000080"/>
              <w:bottom w:val="single" w:sz="6" w:space="0" w:color="000080"/>
              <w:right w:val="single" w:sz="6" w:space="0" w:color="000080"/>
            </w:tcBorders>
            <w:shd w:val="solid" w:color="000080" w:fill="FFFFFF"/>
            <w:hideMark/>
          </w:tcPr>
          <w:p w14:paraId="0E2E839C" w14:textId="77777777" w:rsidR="00CA267B" w:rsidRPr="00CA267B" w:rsidRDefault="00CA267B" w:rsidP="00CA267B">
            <w:pPr>
              <w:jc w:val="both"/>
              <w:rPr>
                <w:bCs/>
                <w:color w:val="auto"/>
                <w:sz w:val="20"/>
              </w:rPr>
            </w:pPr>
            <w:r w:rsidRPr="00CA267B">
              <w:rPr>
                <w:bCs/>
                <w:color w:val="auto"/>
                <w:sz w:val="20"/>
              </w:rPr>
              <w:t>NV</w:t>
            </w:r>
          </w:p>
        </w:tc>
        <w:tc>
          <w:tcPr>
            <w:tcW w:w="630" w:type="dxa"/>
            <w:tcBorders>
              <w:top w:val="single" w:sz="6" w:space="0" w:color="000080"/>
              <w:left w:val="single" w:sz="6" w:space="0" w:color="000080"/>
              <w:bottom w:val="single" w:sz="6" w:space="0" w:color="000080"/>
              <w:right w:val="single" w:sz="6" w:space="0" w:color="000080"/>
            </w:tcBorders>
            <w:shd w:val="solid" w:color="000080" w:fill="FFFFFF"/>
            <w:hideMark/>
          </w:tcPr>
          <w:p w14:paraId="297BA6E1" w14:textId="77777777" w:rsidR="00CA267B" w:rsidRPr="00CA267B" w:rsidRDefault="00CA267B" w:rsidP="00CA267B">
            <w:pPr>
              <w:jc w:val="both"/>
              <w:rPr>
                <w:bCs/>
                <w:color w:val="auto"/>
                <w:sz w:val="20"/>
              </w:rPr>
            </w:pPr>
            <w:r w:rsidRPr="00CA267B">
              <w:rPr>
                <w:bCs/>
                <w:color w:val="auto"/>
                <w:sz w:val="20"/>
              </w:rPr>
              <w:t>AB</w:t>
            </w:r>
          </w:p>
        </w:tc>
      </w:tr>
      <w:tr w:rsidR="00CA267B" w:rsidRPr="00CA267B" w14:paraId="1815191B" w14:textId="77777777" w:rsidTr="00CA267B">
        <w:tc>
          <w:tcPr>
            <w:tcW w:w="1864" w:type="dxa"/>
            <w:tcBorders>
              <w:top w:val="single" w:sz="6" w:space="0" w:color="000080"/>
              <w:left w:val="single" w:sz="6" w:space="0" w:color="000080"/>
              <w:bottom w:val="single" w:sz="6" w:space="0" w:color="000080"/>
              <w:right w:val="single" w:sz="6" w:space="0" w:color="000080"/>
            </w:tcBorders>
          </w:tcPr>
          <w:p w14:paraId="16F567F2" w14:textId="77777777" w:rsidR="00CA267B" w:rsidRPr="00CA267B" w:rsidRDefault="00CA267B" w:rsidP="00CA267B">
            <w:pPr>
              <w:jc w:val="both"/>
              <w:rPr>
                <w:color w:val="auto"/>
                <w:szCs w:val="24"/>
              </w:rPr>
            </w:pPr>
            <w:r w:rsidRPr="00CA267B">
              <w:rPr>
                <w:color w:val="auto"/>
                <w:szCs w:val="24"/>
              </w:rPr>
              <w:t>KOSHAK</w:t>
            </w:r>
          </w:p>
        </w:tc>
        <w:tc>
          <w:tcPr>
            <w:tcW w:w="656" w:type="dxa"/>
            <w:tcBorders>
              <w:top w:val="single" w:sz="6" w:space="0" w:color="000080"/>
              <w:left w:val="single" w:sz="6" w:space="0" w:color="000080"/>
              <w:bottom w:val="single" w:sz="6" w:space="0" w:color="000080"/>
              <w:right w:val="single" w:sz="6" w:space="0" w:color="000080"/>
            </w:tcBorders>
          </w:tcPr>
          <w:p w14:paraId="5FA167C8" w14:textId="77777777" w:rsidR="00CA267B" w:rsidRPr="00CA267B" w:rsidRDefault="00CA267B" w:rsidP="00CA267B">
            <w:pPr>
              <w:jc w:val="center"/>
              <w:rPr>
                <w:b/>
                <w:color w:val="auto"/>
                <w:szCs w:val="24"/>
              </w:rPr>
            </w:pPr>
          </w:p>
        </w:tc>
        <w:tc>
          <w:tcPr>
            <w:tcW w:w="630" w:type="dxa"/>
            <w:tcBorders>
              <w:top w:val="single" w:sz="6" w:space="0" w:color="000080"/>
              <w:left w:val="single" w:sz="6" w:space="0" w:color="000080"/>
              <w:bottom w:val="single" w:sz="6" w:space="0" w:color="000080"/>
              <w:right w:val="single" w:sz="6" w:space="0" w:color="000080"/>
            </w:tcBorders>
          </w:tcPr>
          <w:p w14:paraId="4E175EB0" w14:textId="77777777" w:rsidR="00CA267B" w:rsidRPr="00CA267B" w:rsidRDefault="00CA267B" w:rsidP="00CA267B">
            <w:pPr>
              <w:jc w:val="center"/>
              <w:rPr>
                <w:b/>
                <w:color w:val="auto"/>
                <w:szCs w:val="24"/>
              </w:rPr>
            </w:pPr>
          </w:p>
        </w:tc>
        <w:tc>
          <w:tcPr>
            <w:tcW w:w="630" w:type="dxa"/>
            <w:tcBorders>
              <w:top w:val="single" w:sz="6" w:space="0" w:color="000080"/>
              <w:left w:val="single" w:sz="6" w:space="0" w:color="000080"/>
              <w:bottom w:val="single" w:sz="6" w:space="0" w:color="000080"/>
              <w:right w:val="single" w:sz="6" w:space="0" w:color="000080"/>
            </w:tcBorders>
          </w:tcPr>
          <w:p w14:paraId="71986984" w14:textId="77777777" w:rsidR="00CA267B" w:rsidRPr="00CA267B" w:rsidRDefault="00CA267B" w:rsidP="00CA267B">
            <w:pPr>
              <w:jc w:val="center"/>
              <w:rPr>
                <w:b/>
                <w:color w:val="auto"/>
                <w:szCs w:val="24"/>
              </w:rPr>
            </w:pPr>
          </w:p>
        </w:tc>
        <w:tc>
          <w:tcPr>
            <w:tcW w:w="630" w:type="dxa"/>
            <w:tcBorders>
              <w:top w:val="single" w:sz="6" w:space="0" w:color="000080"/>
              <w:left w:val="single" w:sz="6" w:space="0" w:color="000080"/>
              <w:bottom w:val="single" w:sz="6" w:space="0" w:color="000080"/>
              <w:right w:val="single" w:sz="6" w:space="0" w:color="000080"/>
            </w:tcBorders>
          </w:tcPr>
          <w:p w14:paraId="7F14D626" w14:textId="77777777" w:rsidR="00CA267B" w:rsidRPr="00CA267B" w:rsidRDefault="00CA267B" w:rsidP="00CA267B">
            <w:pPr>
              <w:jc w:val="center"/>
              <w:rPr>
                <w:b/>
                <w:color w:val="auto"/>
                <w:szCs w:val="24"/>
              </w:rPr>
            </w:pPr>
          </w:p>
        </w:tc>
        <w:tc>
          <w:tcPr>
            <w:tcW w:w="2160" w:type="dxa"/>
            <w:tcBorders>
              <w:top w:val="single" w:sz="6" w:space="0" w:color="000080"/>
              <w:left w:val="single" w:sz="6" w:space="0" w:color="000080"/>
              <w:bottom w:val="single" w:sz="6" w:space="0" w:color="000080"/>
              <w:right w:val="single" w:sz="6" w:space="0" w:color="000080"/>
            </w:tcBorders>
          </w:tcPr>
          <w:p w14:paraId="5D6870E8" w14:textId="77777777" w:rsidR="00CA267B" w:rsidRPr="00CA267B" w:rsidRDefault="00CA267B" w:rsidP="00CA267B">
            <w:pPr>
              <w:jc w:val="both"/>
              <w:rPr>
                <w:color w:val="auto"/>
                <w:szCs w:val="24"/>
              </w:rPr>
            </w:pPr>
            <w:r w:rsidRPr="00CA267B">
              <w:rPr>
                <w:color w:val="auto"/>
                <w:szCs w:val="24"/>
              </w:rPr>
              <w:t>SMITH</w:t>
            </w:r>
          </w:p>
        </w:tc>
        <w:tc>
          <w:tcPr>
            <w:tcW w:w="810" w:type="dxa"/>
            <w:tcBorders>
              <w:top w:val="single" w:sz="6" w:space="0" w:color="000080"/>
              <w:left w:val="single" w:sz="6" w:space="0" w:color="000080"/>
              <w:bottom w:val="single" w:sz="6" w:space="0" w:color="000080"/>
              <w:right w:val="single" w:sz="6" w:space="0" w:color="000080"/>
            </w:tcBorders>
          </w:tcPr>
          <w:p w14:paraId="0AC04CED" w14:textId="77777777" w:rsidR="00CA267B" w:rsidRPr="00CA267B" w:rsidRDefault="00CA267B" w:rsidP="00CA267B">
            <w:pPr>
              <w:jc w:val="center"/>
              <w:rPr>
                <w:b/>
                <w:color w:val="auto"/>
                <w:szCs w:val="24"/>
              </w:rPr>
            </w:pPr>
          </w:p>
        </w:tc>
        <w:tc>
          <w:tcPr>
            <w:tcW w:w="720" w:type="dxa"/>
            <w:tcBorders>
              <w:top w:val="single" w:sz="6" w:space="0" w:color="000080"/>
              <w:left w:val="single" w:sz="6" w:space="0" w:color="000080"/>
              <w:bottom w:val="single" w:sz="6" w:space="0" w:color="000080"/>
              <w:right w:val="single" w:sz="6" w:space="0" w:color="000080"/>
            </w:tcBorders>
          </w:tcPr>
          <w:p w14:paraId="0E53CF02" w14:textId="77777777" w:rsidR="00CA267B" w:rsidRPr="00CA267B" w:rsidRDefault="00CA267B" w:rsidP="00CA267B">
            <w:pPr>
              <w:jc w:val="center"/>
              <w:rPr>
                <w:b/>
                <w:color w:val="auto"/>
                <w:szCs w:val="24"/>
              </w:rPr>
            </w:pPr>
          </w:p>
        </w:tc>
        <w:tc>
          <w:tcPr>
            <w:tcW w:w="720" w:type="dxa"/>
            <w:tcBorders>
              <w:top w:val="single" w:sz="6" w:space="0" w:color="000080"/>
              <w:left w:val="single" w:sz="6" w:space="0" w:color="000080"/>
              <w:bottom w:val="single" w:sz="6" w:space="0" w:color="000080"/>
              <w:right w:val="single" w:sz="6" w:space="0" w:color="000080"/>
            </w:tcBorders>
          </w:tcPr>
          <w:p w14:paraId="403927F7" w14:textId="77777777" w:rsidR="00CA267B" w:rsidRPr="00CA267B" w:rsidRDefault="00CA267B" w:rsidP="00CA267B">
            <w:pPr>
              <w:jc w:val="center"/>
              <w:rPr>
                <w:b/>
                <w:color w:val="auto"/>
                <w:szCs w:val="24"/>
              </w:rPr>
            </w:pPr>
          </w:p>
        </w:tc>
        <w:tc>
          <w:tcPr>
            <w:tcW w:w="630" w:type="dxa"/>
            <w:tcBorders>
              <w:top w:val="single" w:sz="6" w:space="0" w:color="000080"/>
              <w:left w:val="single" w:sz="6" w:space="0" w:color="000080"/>
              <w:bottom w:val="single" w:sz="6" w:space="0" w:color="000080"/>
              <w:right w:val="single" w:sz="6" w:space="0" w:color="000080"/>
            </w:tcBorders>
          </w:tcPr>
          <w:p w14:paraId="6BBEF6F6" w14:textId="77777777" w:rsidR="00CA267B" w:rsidRPr="00CA267B" w:rsidRDefault="00CA267B" w:rsidP="00CA267B">
            <w:pPr>
              <w:jc w:val="center"/>
              <w:rPr>
                <w:b/>
                <w:color w:val="auto"/>
                <w:szCs w:val="24"/>
              </w:rPr>
            </w:pPr>
          </w:p>
        </w:tc>
      </w:tr>
      <w:tr w:rsidR="00CA267B" w:rsidRPr="00CA267B" w14:paraId="4B920BFB" w14:textId="77777777" w:rsidTr="00CA267B">
        <w:tc>
          <w:tcPr>
            <w:tcW w:w="1864" w:type="dxa"/>
            <w:tcBorders>
              <w:top w:val="single" w:sz="6" w:space="0" w:color="000080"/>
              <w:left w:val="single" w:sz="6" w:space="0" w:color="000080"/>
              <w:bottom w:val="single" w:sz="6" w:space="0" w:color="000080"/>
              <w:right w:val="single" w:sz="6" w:space="0" w:color="000080"/>
            </w:tcBorders>
          </w:tcPr>
          <w:p w14:paraId="7C70DD46" w14:textId="77777777" w:rsidR="00CA267B" w:rsidRPr="00CA267B" w:rsidRDefault="00CA267B" w:rsidP="00CA267B">
            <w:pPr>
              <w:jc w:val="both"/>
              <w:rPr>
                <w:color w:val="auto"/>
                <w:szCs w:val="24"/>
              </w:rPr>
            </w:pPr>
            <w:r w:rsidRPr="00CA267B">
              <w:rPr>
                <w:color w:val="auto"/>
                <w:szCs w:val="24"/>
              </w:rPr>
              <w:t>PAWLYZYN</w:t>
            </w:r>
          </w:p>
        </w:tc>
        <w:tc>
          <w:tcPr>
            <w:tcW w:w="656" w:type="dxa"/>
            <w:tcBorders>
              <w:top w:val="single" w:sz="6" w:space="0" w:color="000080"/>
              <w:left w:val="single" w:sz="6" w:space="0" w:color="000080"/>
              <w:bottom w:val="single" w:sz="6" w:space="0" w:color="000080"/>
              <w:right w:val="single" w:sz="6" w:space="0" w:color="000080"/>
            </w:tcBorders>
          </w:tcPr>
          <w:p w14:paraId="10E5B6AD" w14:textId="77777777" w:rsidR="00CA267B" w:rsidRPr="00CA267B" w:rsidRDefault="00CA267B" w:rsidP="00CA267B">
            <w:pPr>
              <w:jc w:val="center"/>
              <w:rPr>
                <w:b/>
                <w:color w:val="auto"/>
                <w:szCs w:val="24"/>
              </w:rPr>
            </w:pPr>
          </w:p>
        </w:tc>
        <w:tc>
          <w:tcPr>
            <w:tcW w:w="630" w:type="dxa"/>
            <w:tcBorders>
              <w:top w:val="single" w:sz="6" w:space="0" w:color="000080"/>
              <w:left w:val="single" w:sz="6" w:space="0" w:color="000080"/>
              <w:bottom w:val="single" w:sz="6" w:space="0" w:color="000080"/>
              <w:right w:val="single" w:sz="6" w:space="0" w:color="000080"/>
            </w:tcBorders>
          </w:tcPr>
          <w:p w14:paraId="579DC238" w14:textId="77777777" w:rsidR="00CA267B" w:rsidRPr="00CA267B" w:rsidRDefault="00CA267B" w:rsidP="00CA267B">
            <w:pPr>
              <w:jc w:val="center"/>
              <w:rPr>
                <w:b/>
                <w:color w:val="auto"/>
                <w:szCs w:val="24"/>
              </w:rPr>
            </w:pPr>
          </w:p>
        </w:tc>
        <w:tc>
          <w:tcPr>
            <w:tcW w:w="630" w:type="dxa"/>
            <w:tcBorders>
              <w:top w:val="single" w:sz="6" w:space="0" w:color="000080"/>
              <w:left w:val="single" w:sz="6" w:space="0" w:color="000080"/>
              <w:bottom w:val="single" w:sz="6" w:space="0" w:color="000080"/>
              <w:right w:val="single" w:sz="6" w:space="0" w:color="000080"/>
            </w:tcBorders>
          </w:tcPr>
          <w:p w14:paraId="5A30C119" w14:textId="77777777" w:rsidR="00CA267B" w:rsidRPr="00CA267B" w:rsidRDefault="00CA267B" w:rsidP="00CA267B">
            <w:pPr>
              <w:jc w:val="center"/>
              <w:rPr>
                <w:b/>
                <w:color w:val="auto"/>
                <w:szCs w:val="24"/>
              </w:rPr>
            </w:pPr>
          </w:p>
        </w:tc>
        <w:tc>
          <w:tcPr>
            <w:tcW w:w="630" w:type="dxa"/>
            <w:tcBorders>
              <w:top w:val="single" w:sz="6" w:space="0" w:color="000080"/>
              <w:left w:val="single" w:sz="6" w:space="0" w:color="000080"/>
              <w:bottom w:val="single" w:sz="6" w:space="0" w:color="000080"/>
              <w:right w:val="single" w:sz="6" w:space="0" w:color="000080"/>
            </w:tcBorders>
          </w:tcPr>
          <w:p w14:paraId="1B6CC55C" w14:textId="77777777" w:rsidR="00CA267B" w:rsidRPr="00CA267B" w:rsidRDefault="00CA267B" w:rsidP="00CA267B">
            <w:pPr>
              <w:jc w:val="center"/>
              <w:rPr>
                <w:b/>
                <w:color w:val="auto"/>
                <w:szCs w:val="24"/>
              </w:rPr>
            </w:pPr>
          </w:p>
        </w:tc>
        <w:tc>
          <w:tcPr>
            <w:tcW w:w="2160" w:type="dxa"/>
            <w:tcBorders>
              <w:top w:val="single" w:sz="6" w:space="0" w:color="000080"/>
              <w:left w:val="single" w:sz="6" w:space="0" w:color="000080"/>
              <w:bottom w:val="single" w:sz="6" w:space="0" w:color="000080"/>
              <w:right w:val="single" w:sz="6" w:space="0" w:color="000080"/>
            </w:tcBorders>
          </w:tcPr>
          <w:p w14:paraId="36DC15C4" w14:textId="77777777" w:rsidR="00CA267B" w:rsidRPr="00CA267B" w:rsidRDefault="00CA267B" w:rsidP="00CA267B">
            <w:pPr>
              <w:jc w:val="both"/>
              <w:rPr>
                <w:color w:val="auto"/>
                <w:szCs w:val="24"/>
              </w:rPr>
            </w:pPr>
            <w:r w:rsidRPr="00CA267B">
              <w:rPr>
                <w:color w:val="auto"/>
                <w:szCs w:val="24"/>
              </w:rPr>
              <w:t>PETERLA</w:t>
            </w:r>
          </w:p>
        </w:tc>
        <w:tc>
          <w:tcPr>
            <w:tcW w:w="810" w:type="dxa"/>
            <w:tcBorders>
              <w:top w:val="single" w:sz="6" w:space="0" w:color="000080"/>
              <w:left w:val="single" w:sz="6" w:space="0" w:color="000080"/>
              <w:bottom w:val="single" w:sz="6" w:space="0" w:color="000080"/>
              <w:right w:val="single" w:sz="6" w:space="0" w:color="000080"/>
            </w:tcBorders>
          </w:tcPr>
          <w:p w14:paraId="343BD4A6" w14:textId="77777777" w:rsidR="00CA267B" w:rsidRPr="00CA267B" w:rsidRDefault="00CA267B" w:rsidP="00CA267B">
            <w:pPr>
              <w:jc w:val="center"/>
              <w:rPr>
                <w:b/>
                <w:color w:val="auto"/>
                <w:szCs w:val="24"/>
              </w:rPr>
            </w:pPr>
          </w:p>
        </w:tc>
        <w:tc>
          <w:tcPr>
            <w:tcW w:w="720" w:type="dxa"/>
            <w:tcBorders>
              <w:top w:val="single" w:sz="6" w:space="0" w:color="000080"/>
              <w:left w:val="single" w:sz="6" w:space="0" w:color="000080"/>
              <w:bottom w:val="single" w:sz="6" w:space="0" w:color="000080"/>
              <w:right w:val="single" w:sz="6" w:space="0" w:color="000080"/>
            </w:tcBorders>
          </w:tcPr>
          <w:p w14:paraId="7659B2FA" w14:textId="77777777" w:rsidR="00CA267B" w:rsidRPr="00CA267B" w:rsidRDefault="00CA267B" w:rsidP="00CA267B">
            <w:pPr>
              <w:jc w:val="center"/>
              <w:rPr>
                <w:b/>
                <w:color w:val="auto"/>
                <w:szCs w:val="24"/>
              </w:rPr>
            </w:pPr>
          </w:p>
        </w:tc>
        <w:tc>
          <w:tcPr>
            <w:tcW w:w="720" w:type="dxa"/>
            <w:tcBorders>
              <w:top w:val="single" w:sz="6" w:space="0" w:color="000080"/>
              <w:left w:val="single" w:sz="6" w:space="0" w:color="000080"/>
              <w:bottom w:val="single" w:sz="6" w:space="0" w:color="000080"/>
              <w:right w:val="single" w:sz="6" w:space="0" w:color="000080"/>
            </w:tcBorders>
          </w:tcPr>
          <w:p w14:paraId="6A341661" w14:textId="77777777" w:rsidR="00CA267B" w:rsidRPr="00CA267B" w:rsidRDefault="00CA267B" w:rsidP="00CA267B">
            <w:pPr>
              <w:jc w:val="center"/>
              <w:rPr>
                <w:b/>
                <w:color w:val="auto"/>
                <w:szCs w:val="24"/>
              </w:rPr>
            </w:pPr>
          </w:p>
        </w:tc>
        <w:tc>
          <w:tcPr>
            <w:tcW w:w="630" w:type="dxa"/>
            <w:tcBorders>
              <w:top w:val="single" w:sz="6" w:space="0" w:color="000080"/>
              <w:left w:val="single" w:sz="6" w:space="0" w:color="000080"/>
              <w:bottom w:val="single" w:sz="6" w:space="0" w:color="000080"/>
              <w:right w:val="single" w:sz="6" w:space="0" w:color="000080"/>
            </w:tcBorders>
          </w:tcPr>
          <w:p w14:paraId="6B4B874A" w14:textId="77777777" w:rsidR="00CA267B" w:rsidRPr="00CA267B" w:rsidRDefault="00CA267B" w:rsidP="00CA267B">
            <w:pPr>
              <w:jc w:val="center"/>
              <w:rPr>
                <w:b/>
                <w:color w:val="auto"/>
                <w:szCs w:val="24"/>
              </w:rPr>
            </w:pPr>
          </w:p>
        </w:tc>
      </w:tr>
      <w:tr w:rsidR="00CA267B" w:rsidRPr="00CA267B" w14:paraId="233B3CAD" w14:textId="77777777" w:rsidTr="00CA267B">
        <w:trPr>
          <w:trHeight w:val="201"/>
        </w:trPr>
        <w:tc>
          <w:tcPr>
            <w:tcW w:w="1864" w:type="dxa"/>
            <w:tcBorders>
              <w:top w:val="single" w:sz="6" w:space="0" w:color="000080"/>
              <w:left w:val="single" w:sz="6" w:space="0" w:color="000080"/>
              <w:bottom w:val="single" w:sz="6" w:space="0" w:color="000080"/>
              <w:right w:val="single" w:sz="6" w:space="0" w:color="000080"/>
            </w:tcBorders>
          </w:tcPr>
          <w:p w14:paraId="3CE27DD1" w14:textId="77777777" w:rsidR="00CA267B" w:rsidRPr="00CA267B" w:rsidRDefault="00CA267B" w:rsidP="00CA267B">
            <w:pPr>
              <w:jc w:val="both"/>
              <w:rPr>
                <w:color w:val="auto"/>
                <w:szCs w:val="24"/>
              </w:rPr>
            </w:pPr>
            <w:r w:rsidRPr="00CA267B">
              <w:rPr>
                <w:color w:val="auto"/>
                <w:szCs w:val="24"/>
              </w:rPr>
              <w:t>MURPHY</w:t>
            </w:r>
          </w:p>
        </w:tc>
        <w:tc>
          <w:tcPr>
            <w:tcW w:w="656" w:type="dxa"/>
            <w:tcBorders>
              <w:top w:val="single" w:sz="6" w:space="0" w:color="000080"/>
              <w:left w:val="single" w:sz="6" w:space="0" w:color="000080"/>
              <w:bottom w:val="single" w:sz="6" w:space="0" w:color="000080"/>
              <w:right w:val="single" w:sz="6" w:space="0" w:color="000080"/>
            </w:tcBorders>
          </w:tcPr>
          <w:p w14:paraId="58018867" w14:textId="77777777" w:rsidR="00CA267B" w:rsidRPr="00CA267B" w:rsidRDefault="00CA267B" w:rsidP="00CA267B">
            <w:pPr>
              <w:jc w:val="center"/>
              <w:rPr>
                <w:b/>
                <w:color w:val="auto"/>
                <w:szCs w:val="24"/>
              </w:rPr>
            </w:pPr>
          </w:p>
        </w:tc>
        <w:tc>
          <w:tcPr>
            <w:tcW w:w="630" w:type="dxa"/>
            <w:tcBorders>
              <w:top w:val="single" w:sz="6" w:space="0" w:color="000080"/>
              <w:left w:val="single" w:sz="6" w:space="0" w:color="000080"/>
              <w:bottom w:val="single" w:sz="6" w:space="0" w:color="000080"/>
              <w:right w:val="single" w:sz="6" w:space="0" w:color="000080"/>
            </w:tcBorders>
          </w:tcPr>
          <w:p w14:paraId="4DDAAA37" w14:textId="77777777" w:rsidR="00CA267B" w:rsidRPr="00CA267B" w:rsidRDefault="00CA267B" w:rsidP="00CA267B">
            <w:pPr>
              <w:jc w:val="center"/>
              <w:rPr>
                <w:b/>
                <w:color w:val="auto"/>
                <w:szCs w:val="24"/>
              </w:rPr>
            </w:pPr>
          </w:p>
        </w:tc>
        <w:tc>
          <w:tcPr>
            <w:tcW w:w="630" w:type="dxa"/>
            <w:tcBorders>
              <w:top w:val="single" w:sz="6" w:space="0" w:color="000080"/>
              <w:left w:val="single" w:sz="6" w:space="0" w:color="000080"/>
              <w:bottom w:val="single" w:sz="6" w:space="0" w:color="000080"/>
              <w:right w:val="single" w:sz="6" w:space="0" w:color="000080"/>
            </w:tcBorders>
          </w:tcPr>
          <w:p w14:paraId="58C0CECE" w14:textId="77777777" w:rsidR="00CA267B" w:rsidRPr="00CA267B" w:rsidRDefault="00CA267B" w:rsidP="00CA267B">
            <w:pPr>
              <w:jc w:val="center"/>
              <w:rPr>
                <w:b/>
                <w:color w:val="auto"/>
                <w:szCs w:val="24"/>
              </w:rPr>
            </w:pPr>
          </w:p>
        </w:tc>
        <w:tc>
          <w:tcPr>
            <w:tcW w:w="630" w:type="dxa"/>
            <w:tcBorders>
              <w:top w:val="single" w:sz="6" w:space="0" w:color="000080"/>
              <w:left w:val="single" w:sz="6" w:space="0" w:color="000080"/>
              <w:bottom w:val="single" w:sz="6" w:space="0" w:color="000080"/>
              <w:right w:val="single" w:sz="6" w:space="0" w:color="000080"/>
            </w:tcBorders>
          </w:tcPr>
          <w:p w14:paraId="77CA91F8" w14:textId="77777777" w:rsidR="00CA267B" w:rsidRPr="00CA267B" w:rsidRDefault="00CA267B" w:rsidP="00CA267B">
            <w:pPr>
              <w:jc w:val="center"/>
              <w:rPr>
                <w:b/>
                <w:color w:val="auto"/>
                <w:szCs w:val="24"/>
              </w:rPr>
            </w:pPr>
          </w:p>
        </w:tc>
        <w:tc>
          <w:tcPr>
            <w:tcW w:w="2160" w:type="dxa"/>
            <w:tcBorders>
              <w:top w:val="single" w:sz="6" w:space="0" w:color="000080"/>
              <w:left w:val="single" w:sz="6" w:space="0" w:color="000080"/>
              <w:bottom w:val="single" w:sz="6" w:space="0" w:color="000080"/>
              <w:right w:val="single" w:sz="6" w:space="0" w:color="000080"/>
            </w:tcBorders>
          </w:tcPr>
          <w:p w14:paraId="314ECED5" w14:textId="77777777" w:rsidR="00CA267B" w:rsidRPr="00CA267B" w:rsidRDefault="00CA267B" w:rsidP="00CA267B">
            <w:pPr>
              <w:jc w:val="both"/>
              <w:rPr>
                <w:color w:val="auto"/>
                <w:szCs w:val="24"/>
              </w:rPr>
            </w:pPr>
          </w:p>
        </w:tc>
        <w:tc>
          <w:tcPr>
            <w:tcW w:w="810" w:type="dxa"/>
            <w:tcBorders>
              <w:top w:val="single" w:sz="6" w:space="0" w:color="000080"/>
              <w:left w:val="single" w:sz="6" w:space="0" w:color="000080"/>
              <w:bottom w:val="single" w:sz="6" w:space="0" w:color="000080"/>
              <w:right w:val="single" w:sz="6" w:space="0" w:color="000080"/>
            </w:tcBorders>
          </w:tcPr>
          <w:p w14:paraId="37617F0C" w14:textId="77777777" w:rsidR="00CA267B" w:rsidRPr="00CA267B" w:rsidRDefault="00CA267B" w:rsidP="00CA267B">
            <w:pPr>
              <w:jc w:val="center"/>
              <w:rPr>
                <w:b/>
                <w:color w:val="auto"/>
                <w:szCs w:val="24"/>
              </w:rPr>
            </w:pPr>
          </w:p>
        </w:tc>
        <w:tc>
          <w:tcPr>
            <w:tcW w:w="720" w:type="dxa"/>
            <w:tcBorders>
              <w:top w:val="single" w:sz="6" w:space="0" w:color="000080"/>
              <w:left w:val="single" w:sz="6" w:space="0" w:color="000080"/>
              <w:bottom w:val="single" w:sz="6" w:space="0" w:color="000080"/>
              <w:right w:val="single" w:sz="6" w:space="0" w:color="000080"/>
            </w:tcBorders>
          </w:tcPr>
          <w:p w14:paraId="3253B5A5" w14:textId="77777777" w:rsidR="00CA267B" w:rsidRPr="00CA267B" w:rsidRDefault="00CA267B" w:rsidP="00CA267B">
            <w:pPr>
              <w:jc w:val="center"/>
              <w:rPr>
                <w:b/>
                <w:color w:val="auto"/>
                <w:szCs w:val="24"/>
              </w:rPr>
            </w:pPr>
          </w:p>
        </w:tc>
        <w:tc>
          <w:tcPr>
            <w:tcW w:w="720" w:type="dxa"/>
            <w:tcBorders>
              <w:top w:val="single" w:sz="6" w:space="0" w:color="000080"/>
              <w:left w:val="single" w:sz="6" w:space="0" w:color="000080"/>
              <w:bottom w:val="single" w:sz="6" w:space="0" w:color="000080"/>
              <w:right w:val="single" w:sz="6" w:space="0" w:color="000080"/>
            </w:tcBorders>
          </w:tcPr>
          <w:p w14:paraId="506C3CF4" w14:textId="77777777" w:rsidR="00CA267B" w:rsidRPr="00CA267B" w:rsidRDefault="00CA267B" w:rsidP="00CA267B">
            <w:pPr>
              <w:jc w:val="center"/>
              <w:rPr>
                <w:b/>
                <w:color w:val="auto"/>
                <w:szCs w:val="24"/>
              </w:rPr>
            </w:pPr>
          </w:p>
        </w:tc>
        <w:tc>
          <w:tcPr>
            <w:tcW w:w="630" w:type="dxa"/>
            <w:tcBorders>
              <w:top w:val="single" w:sz="6" w:space="0" w:color="000080"/>
              <w:left w:val="single" w:sz="6" w:space="0" w:color="000080"/>
              <w:bottom w:val="single" w:sz="6" w:space="0" w:color="000080"/>
              <w:right w:val="single" w:sz="6" w:space="0" w:color="000080"/>
            </w:tcBorders>
          </w:tcPr>
          <w:p w14:paraId="636B3774" w14:textId="77777777" w:rsidR="00CA267B" w:rsidRPr="00CA267B" w:rsidRDefault="00CA267B" w:rsidP="00CA267B">
            <w:pPr>
              <w:jc w:val="center"/>
              <w:rPr>
                <w:b/>
                <w:color w:val="auto"/>
                <w:szCs w:val="24"/>
              </w:rPr>
            </w:pPr>
          </w:p>
        </w:tc>
      </w:tr>
      <w:tr w:rsidR="00CA267B" w:rsidRPr="00CA267B" w14:paraId="0F840C45" w14:textId="77777777" w:rsidTr="00CA267B">
        <w:tc>
          <w:tcPr>
            <w:tcW w:w="1864" w:type="dxa"/>
            <w:tcBorders>
              <w:top w:val="single" w:sz="6" w:space="0" w:color="000080"/>
              <w:left w:val="single" w:sz="6" w:space="0" w:color="000080"/>
              <w:bottom w:val="single" w:sz="6" w:space="0" w:color="000080"/>
              <w:right w:val="single" w:sz="6" w:space="0" w:color="000080"/>
            </w:tcBorders>
            <w:hideMark/>
          </w:tcPr>
          <w:p w14:paraId="32938307" w14:textId="77777777" w:rsidR="00CA267B" w:rsidRPr="00CA267B" w:rsidRDefault="00CA267B" w:rsidP="00CA267B">
            <w:pPr>
              <w:jc w:val="both"/>
              <w:rPr>
                <w:color w:val="auto"/>
                <w:szCs w:val="24"/>
              </w:rPr>
            </w:pPr>
            <w:r w:rsidRPr="00CA267B">
              <w:rPr>
                <w:color w:val="auto"/>
                <w:szCs w:val="24"/>
              </w:rPr>
              <w:t>MOTION</w:t>
            </w:r>
          </w:p>
        </w:tc>
        <w:tc>
          <w:tcPr>
            <w:tcW w:w="2546" w:type="dxa"/>
            <w:gridSpan w:val="4"/>
            <w:tcBorders>
              <w:top w:val="single" w:sz="6" w:space="0" w:color="000080"/>
              <w:left w:val="single" w:sz="6" w:space="0" w:color="000080"/>
              <w:bottom w:val="single" w:sz="6" w:space="0" w:color="000080"/>
              <w:right w:val="single" w:sz="6" w:space="0" w:color="000080"/>
            </w:tcBorders>
          </w:tcPr>
          <w:p w14:paraId="601676A3" w14:textId="77777777" w:rsidR="00CA267B" w:rsidRPr="00CA267B" w:rsidRDefault="00CA267B" w:rsidP="00CA267B">
            <w:pPr>
              <w:jc w:val="center"/>
              <w:rPr>
                <w:b/>
                <w:color w:val="auto"/>
                <w:szCs w:val="24"/>
              </w:rPr>
            </w:pPr>
          </w:p>
        </w:tc>
        <w:tc>
          <w:tcPr>
            <w:tcW w:w="2160" w:type="dxa"/>
            <w:tcBorders>
              <w:top w:val="single" w:sz="6" w:space="0" w:color="000080"/>
              <w:left w:val="single" w:sz="6" w:space="0" w:color="000080"/>
              <w:bottom w:val="single" w:sz="6" w:space="0" w:color="000080"/>
              <w:right w:val="single" w:sz="6" w:space="0" w:color="000080"/>
            </w:tcBorders>
            <w:hideMark/>
          </w:tcPr>
          <w:p w14:paraId="58D235E9" w14:textId="77777777" w:rsidR="00CA267B" w:rsidRPr="00CA267B" w:rsidRDefault="00CA267B" w:rsidP="00CA267B">
            <w:pPr>
              <w:jc w:val="both"/>
              <w:rPr>
                <w:color w:val="auto"/>
                <w:szCs w:val="24"/>
              </w:rPr>
            </w:pPr>
            <w:r w:rsidRPr="00CA267B">
              <w:rPr>
                <w:color w:val="auto"/>
                <w:szCs w:val="24"/>
              </w:rPr>
              <w:t>SECOND</w:t>
            </w:r>
          </w:p>
        </w:tc>
        <w:tc>
          <w:tcPr>
            <w:tcW w:w="2880" w:type="dxa"/>
            <w:gridSpan w:val="4"/>
            <w:tcBorders>
              <w:top w:val="single" w:sz="6" w:space="0" w:color="000080"/>
              <w:left w:val="single" w:sz="6" w:space="0" w:color="000080"/>
              <w:bottom w:val="single" w:sz="6" w:space="0" w:color="000080"/>
              <w:right w:val="single" w:sz="6" w:space="0" w:color="000080"/>
            </w:tcBorders>
          </w:tcPr>
          <w:p w14:paraId="136B1EAA" w14:textId="77777777" w:rsidR="00CA267B" w:rsidRPr="00CA267B" w:rsidRDefault="00CA267B" w:rsidP="00CA267B">
            <w:pPr>
              <w:jc w:val="center"/>
              <w:rPr>
                <w:b/>
                <w:color w:val="auto"/>
                <w:szCs w:val="24"/>
              </w:rPr>
            </w:pPr>
          </w:p>
        </w:tc>
      </w:tr>
      <w:tr w:rsidR="00CA267B" w:rsidRPr="00CA267B" w14:paraId="7CEA7B26" w14:textId="77777777" w:rsidTr="00CA267B">
        <w:tc>
          <w:tcPr>
            <w:tcW w:w="9450" w:type="dxa"/>
            <w:gridSpan w:val="10"/>
            <w:tcBorders>
              <w:top w:val="single" w:sz="6" w:space="0" w:color="000080"/>
              <w:left w:val="single" w:sz="6" w:space="0" w:color="000080"/>
              <w:bottom w:val="single" w:sz="6" w:space="0" w:color="000080"/>
              <w:right w:val="single" w:sz="6" w:space="0" w:color="000080"/>
            </w:tcBorders>
            <w:hideMark/>
          </w:tcPr>
          <w:p w14:paraId="57D7627F" w14:textId="77777777" w:rsidR="00CA267B" w:rsidRPr="00CA267B" w:rsidRDefault="00CA267B" w:rsidP="00CA267B">
            <w:pPr>
              <w:jc w:val="both"/>
              <w:rPr>
                <w:color w:val="auto"/>
                <w:szCs w:val="24"/>
              </w:rPr>
            </w:pPr>
            <w:r w:rsidRPr="00CA267B">
              <w:rPr>
                <w:color w:val="auto"/>
                <w:szCs w:val="24"/>
              </w:rPr>
              <w:t>X – INDICATES VOTE               AB- ABSENT                    NV- NOT VOTING</w:t>
            </w:r>
          </w:p>
        </w:tc>
      </w:tr>
    </w:tbl>
    <w:p w14:paraId="5B8885DD" w14:textId="77777777" w:rsidR="003240AC" w:rsidRDefault="003240AC">
      <w:pPr>
        <w:tabs>
          <w:tab w:val="left" w:pos="-720"/>
          <w:tab w:val="left" w:pos="3600"/>
          <w:tab w:val="left" w:pos="5760"/>
          <w:tab w:val="left" w:pos="6840"/>
        </w:tabs>
        <w:suppressAutoHyphens/>
        <w:spacing w:after="120"/>
        <w:jc w:val="both"/>
        <w:rPr>
          <w:spacing w:val="-3"/>
        </w:rPr>
      </w:pPr>
    </w:p>
    <w:p w14:paraId="489AB522" w14:textId="2949CF9F" w:rsidR="00CA267B" w:rsidRPr="00CA267B" w:rsidRDefault="00CA267B" w:rsidP="00CA267B">
      <w:pPr>
        <w:jc w:val="both"/>
        <w:rPr>
          <w:color w:val="auto"/>
          <w:szCs w:val="24"/>
        </w:rPr>
      </w:pPr>
      <w:r w:rsidRPr="00CA267B">
        <w:rPr>
          <w:color w:val="auto"/>
          <w:szCs w:val="24"/>
        </w:rPr>
        <w:t xml:space="preserve">I hereby certify the foregoing to be a true copy of a resolution adopted by the Township of New Hanover, Burlington County, New Jersey at a regular meeting held on </w:t>
      </w:r>
      <w:r>
        <w:rPr>
          <w:color w:val="auto"/>
          <w:szCs w:val="24"/>
        </w:rPr>
        <w:t>August 12</w:t>
      </w:r>
      <w:r w:rsidRPr="00CA267B">
        <w:rPr>
          <w:color w:val="auto"/>
          <w:szCs w:val="24"/>
        </w:rPr>
        <w:t>, 2025.</w:t>
      </w:r>
    </w:p>
    <w:p w14:paraId="7223BAD5" w14:textId="776C2495" w:rsidR="00CA267B" w:rsidRDefault="00CA267B" w:rsidP="00CA267B">
      <w:pPr>
        <w:jc w:val="both"/>
        <w:rPr>
          <w:color w:val="auto"/>
          <w:szCs w:val="24"/>
        </w:rPr>
      </w:pPr>
    </w:p>
    <w:p w14:paraId="0AC462DD" w14:textId="77777777" w:rsidR="001E13B6" w:rsidRPr="00CA267B" w:rsidRDefault="001E13B6" w:rsidP="00CA267B">
      <w:pPr>
        <w:jc w:val="both"/>
        <w:rPr>
          <w:color w:val="auto"/>
          <w:szCs w:val="24"/>
        </w:rPr>
      </w:pPr>
    </w:p>
    <w:p w14:paraId="5FC36348" w14:textId="77777777" w:rsidR="00CA267B" w:rsidRPr="00CA267B" w:rsidRDefault="00CA267B" w:rsidP="00CA267B">
      <w:pPr>
        <w:jc w:val="both"/>
        <w:rPr>
          <w:color w:val="auto"/>
          <w:szCs w:val="24"/>
        </w:rPr>
      </w:pPr>
    </w:p>
    <w:p w14:paraId="65C49C31" w14:textId="77777777" w:rsidR="00CA267B" w:rsidRPr="00CA267B" w:rsidRDefault="00CA267B" w:rsidP="00CA267B">
      <w:pPr>
        <w:rPr>
          <w:b/>
          <w:color w:val="auto"/>
          <w:szCs w:val="24"/>
        </w:rPr>
      </w:pPr>
      <w:r w:rsidRPr="00CA267B">
        <w:rPr>
          <w:color w:val="auto"/>
          <w:szCs w:val="24"/>
        </w:rPr>
        <w:tab/>
      </w:r>
      <w:r w:rsidRPr="00CA267B">
        <w:rPr>
          <w:color w:val="auto"/>
          <w:szCs w:val="24"/>
        </w:rPr>
        <w:tab/>
      </w:r>
      <w:r w:rsidRPr="00CA267B">
        <w:rPr>
          <w:color w:val="auto"/>
          <w:szCs w:val="24"/>
        </w:rPr>
        <w:tab/>
      </w:r>
      <w:r w:rsidRPr="00CA267B">
        <w:rPr>
          <w:color w:val="auto"/>
          <w:szCs w:val="24"/>
        </w:rPr>
        <w:tab/>
      </w:r>
      <w:r w:rsidRPr="00CA267B">
        <w:rPr>
          <w:color w:val="auto"/>
          <w:szCs w:val="24"/>
        </w:rPr>
        <w:tab/>
      </w:r>
      <w:r w:rsidRPr="00CA267B">
        <w:rPr>
          <w:color w:val="auto"/>
          <w:szCs w:val="24"/>
        </w:rPr>
        <w:tab/>
      </w:r>
      <w:r w:rsidRPr="00CA267B">
        <w:rPr>
          <w:color w:val="auto"/>
          <w:szCs w:val="24"/>
        </w:rPr>
        <w:tab/>
      </w:r>
      <w:r w:rsidRPr="00CA267B">
        <w:rPr>
          <w:color w:val="auto"/>
          <w:szCs w:val="24"/>
        </w:rPr>
        <w:tab/>
      </w:r>
      <w:r w:rsidRPr="00CA267B">
        <w:rPr>
          <w:b/>
          <w:color w:val="auto"/>
          <w:szCs w:val="24"/>
          <w:u w:val="single"/>
        </w:rPr>
        <w:tab/>
      </w:r>
      <w:r w:rsidRPr="00CA267B">
        <w:rPr>
          <w:b/>
          <w:color w:val="auto"/>
          <w:szCs w:val="24"/>
          <w:u w:val="single"/>
        </w:rPr>
        <w:tab/>
      </w:r>
      <w:r w:rsidRPr="00CA267B">
        <w:rPr>
          <w:b/>
          <w:color w:val="auto"/>
          <w:szCs w:val="24"/>
          <w:u w:val="single"/>
        </w:rPr>
        <w:tab/>
      </w:r>
      <w:r w:rsidRPr="00CA267B">
        <w:rPr>
          <w:b/>
          <w:color w:val="auto"/>
          <w:szCs w:val="24"/>
          <w:u w:val="single"/>
        </w:rPr>
        <w:tab/>
      </w:r>
      <w:r w:rsidRPr="00CA267B">
        <w:rPr>
          <w:b/>
          <w:color w:val="auto"/>
          <w:szCs w:val="24"/>
          <w:u w:val="single"/>
        </w:rPr>
        <w:tab/>
      </w:r>
      <w:r w:rsidRPr="00CA267B">
        <w:rPr>
          <w:b/>
          <w:color w:val="auto"/>
          <w:szCs w:val="24"/>
        </w:rPr>
        <w:t xml:space="preserve">                                                       </w:t>
      </w:r>
    </w:p>
    <w:p w14:paraId="42A8F83D" w14:textId="77777777" w:rsidR="00CA267B" w:rsidRPr="00CA267B" w:rsidRDefault="00CA267B" w:rsidP="00CA267B">
      <w:pPr>
        <w:ind w:left="5760" w:firstLine="720"/>
        <w:rPr>
          <w:color w:val="auto"/>
          <w:szCs w:val="24"/>
        </w:rPr>
      </w:pPr>
      <w:r w:rsidRPr="00CA267B">
        <w:rPr>
          <w:color w:val="auto"/>
          <w:szCs w:val="24"/>
        </w:rPr>
        <w:t>Susan D. Jackson, RMC</w:t>
      </w:r>
    </w:p>
    <w:p w14:paraId="67482056" w14:textId="77777777" w:rsidR="00CA267B" w:rsidRPr="00CA267B" w:rsidRDefault="00CA267B" w:rsidP="00CA267B">
      <w:pPr>
        <w:rPr>
          <w:color w:val="auto"/>
          <w:szCs w:val="24"/>
        </w:rPr>
      </w:pPr>
      <w:r w:rsidRPr="00CA267B">
        <w:rPr>
          <w:color w:val="auto"/>
          <w:szCs w:val="24"/>
        </w:rPr>
        <w:t xml:space="preserve">                                                                                  </w:t>
      </w:r>
      <w:r w:rsidRPr="00CA267B">
        <w:rPr>
          <w:color w:val="auto"/>
          <w:szCs w:val="24"/>
        </w:rPr>
        <w:tab/>
      </w:r>
      <w:r w:rsidRPr="00CA267B">
        <w:rPr>
          <w:color w:val="auto"/>
          <w:szCs w:val="24"/>
        </w:rPr>
        <w:tab/>
        <w:t xml:space="preserve"> </w:t>
      </w:r>
      <w:r w:rsidRPr="00CA267B">
        <w:rPr>
          <w:color w:val="auto"/>
          <w:szCs w:val="24"/>
        </w:rPr>
        <w:tab/>
        <w:t xml:space="preserve">        Township Clerk</w:t>
      </w:r>
    </w:p>
    <w:p w14:paraId="060A2A98" w14:textId="77777777" w:rsidR="00AE44C2" w:rsidRPr="00AE44C2" w:rsidRDefault="00AE44C2" w:rsidP="00AE44C2"/>
    <w:p w14:paraId="4F10B221" w14:textId="77777777" w:rsidR="00AE44C2" w:rsidRPr="00AE44C2" w:rsidRDefault="00AE44C2" w:rsidP="00AE44C2"/>
    <w:p w14:paraId="4832048D" w14:textId="0FAED73D" w:rsidR="00AE44C2" w:rsidRDefault="006345CA" w:rsidP="00B24C11">
      <w:pPr>
        <w:tabs>
          <w:tab w:val="center" w:pos="7200"/>
        </w:tabs>
        <w:suppressAutoHyphens/>
        <w:ind w:left="720" w:hanging="720"/>
        <w:jc w:val="both"/>
      </w:pPr>
      <w:r>
        <w:rPr>
          <w:spacing w:val="-3"/>
        </w:rPr>
        <w:tab/>
      </w:r>
      <w:r>
        <w:rPr>
          <w:spacing w:val="-3"/>
        </w:rPr>
        <w:tab/>
      </w:r>
    </w:p>
    <w:p w14:paraId="41E563AC" w14:textId="77777777" w:rsidR="00D67C1A" w:rsidRPr="00AE44C2" w:rsidRDefault="00D67C1A" w:rsidP="00AE44C2">
      <w:pPr>
        <w:jc w:val="center"/>
      </w:pPr>
    </w:p>
    <w:sectPr w:rsidR="00D67C1A" w:rsidRPr="00AE44C2">
      <w:footerReference w:type="default" r:id="rId7"/>
      <w:pgSz w:w="12240" w:h="15840"/>
      <w:pgMar w:top="1440" w:right="1440" w:bottom="1440" w:left="1440" w:header="144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5C954" w14:textId="77777777" w:rsidR="00A5483F" w:rsidRDefault="00A5483F">
      <w:r>
        <w:separator/>
      </w:r>
    </w:p>
  </w:endnote>
  <w:endnote w:type="continuationSeparator" w:id="0">
    <w:p w14:paraId="0A758C17" w14:textId="77777777" w:rsidR="00A5483F" w:rsidRDefault="00A54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69621" w14:textId="77777777" w:rsidR="00981135" w:rsidRDefault="00981135">
    <w:pPr>
      <w:tabs>
        <w:tab w:val="right" w:pos="9360"/>
      </w:tabs>
      <w:suppressAutoHyphens/>
      <w:jc w:val="right"/>
      <w:rPr>
        <w:spacing w:val="-2"/>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8B10F" w14:textId="77777777" w:rsidR="00A5483F" w:rsidRDefault="00A5483F">
      <w:r>
        <w:separator/>
      </w:r>
    </w:p>
  </w:footnote>
  <w:footnote w:type="continuationSeparator" w:id="0">
    <w:p w14:paraId="36D38AAD" w14:textId="77777777" w:rsidR="00A5483F" w:rsidRDefault="00A548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907"/>
    <w:rsid w:val="001476E5"/>
    <w:rsid w:val="00162BA0"/>
    <w:rsid w:val="001A709B"/>
    <w:rsid w:val="001B7F7D"/>
    <w:rsid w:val="001D348B"/>
    <w:rsid w:val="001E13B6"/>
    <w:rsid w:val="001E6260"/>
    <w:rsid w:val="001F1276"/>
    <w:rsid w:val="00214EAD"/>
    <w:rsid w:val="00267F6A"/>
    <w:rsid w:val="002C64E4"/>
    <w:rsid w:val="002F161B"/>
    <w:rsid w:val="00302338"/>
    <w:rsid w:val="00306EBA"/>
    <w:rsid w:val="003240AC"/>
    <w:rsid w:val="00327A86"/>
    <w:rsid w:val="00381E9D"/>
    <w:rsid w:val="00381F4E"/>
    <w:rsid w:val="003865EC"/>
    <w:rsid w:val="0039409A"/>
    <w:rsid w:val="003A0C82"/>
    <w:rsid w:val="003E7752"/>
    <w:rsid w:val="00413FC1"/>
    <w:rsid w:val="004160AE"/>
    <w:rsid w:val="004539DC"/>
    <w:rsid w:val="004F5CA1"/>
    <w:rsid w:val="005005B0"/>
    <w:rsid w:val="00547C88"/>
    <w:rsid w:val="00571880"/>
    <w:rsid w:val="00606131"/>
    <w:rsid w:val="006345CA"/>
    <w:rsid w:val="006377A9"/>
    <w:rsid w:val="0064417E"/>
    <w:rsid w:val="00652C01"/>
    <w:rsid w:val="006638BB"/>
    <w:rsid w:val="00667F20"/>
    <w:rsid w:val="00690780"/>
    <w:rsid w:val="006D58CF"/>
    <w:rsid w:val="006E7D10"/>
    <w:rsid w:val="006F47D0"/>
    <w:rsid w:val="0073157E"/>
    <w:rsid w:val="0074251D"/>
    <w:rsid w:val="007439EE"/>
    <w:rsid w:val="007626B5"/>
    <w:rsid w:val="00793F05"/>
    <w:rsid w:val="007A40EF"/>
    <w:rsid w:val="007D79ED"/>
    <w:rsid w:val="007E5B71"/>
    <w:rsid w:val="00841606"/>
    <w:rsid w:val="0085080F"/>
    <w:rsid w:val="008637E2"/>
    <w:rsid w:val="00863C58"/>
    <w:rsid w:val="00873498"/>
    <w:rsid w:val="00876AED"/>
    <w:rsid w:val="00890A49"/>
    <w:rsid w:val="008E453E"/>
    <w:rsid w:val="009068B9"/>
    <w:rsid w:val="00934EA5"/>
    <w:rsid w:val="00950F0A"/>
    <w:rsid w:val="00981135"/>
    <w:rsid w:val="00987BD8"/>
    <w:rsid w:val="0099014B"/>
    <w:rsid w:val="00990F91"/>
    <w:rsid w:val="009B03B3"/>
    <w:rsid w:val="009B6713"/>
    <w:rsid w:val="009C364B"/>
    <w:rsid w:val="009C3E4B"/>
    <w:rsid w:val="009D2589"/>
    <w:rsid w:val="00A306A6"/>
    <w:rsid w:val="00A5483F"/>
    <w:rsid w:val="00A86BD1"/>
    <w:rsid w:val="00A975E4"/>
    <w:rsid w:val="00AA3F76"/>
    <w:rsid w:val="00AA57C9"/>
    <w:rsid w:val="00AE44C2"/>
    <w:rsid w:val="00AF4792"/>
    <w:rsid w:val="00AF7B6B"/>
    <w:rsid w:val="00B038BB"/>
    <w:rsid w:val="00B24C11"/>
    <w:rsid w:val="00B34D9F"/>
    <w:rsid w:val="00B36302"/>
    <w:rsid w:val="00B42E78"/>
    <w:rsid w:val="00BA6907"/>
    <w:rsid w:val="00BA7F54"/>
    <w:rsid w:val="00BD1B4F"/>
    <w:rsid w:val="00C066AC"/>
    <w:rsid w:val="00C07F06"/>
    <w:rsid w:val="00C64496"/>
    <w:rsid w:val="00C85020"/>
    <w:rsid w:val="00C85D65"/>
    <w:rsid w:val="00CA267B"/>
    <w:rsid w:val="00CB42D5"/>
    <w:rsid w:val="00CE5F24"/>
    <w:rsid w:val="00CE7FDE"/>
    <w:rsid w:val="00D01A92"/>
    <w:rsid w:val="00D20776"/>
    <w:rsid w:val="00D2625E"/>
    <w:rsid w:val="00D64CD3"/>
    <w:rsid w:val="00D67C1A"/>
    <w:rsid w:val="00DC38EA"/>
    <w:rsid w:val="00DE34E0"/>
    <w:rsid w:val="00E330CE"/>
    <w:rsid w:val="00F22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FADB31"/>
  <w15:chartTrackingRefBased/>
  <w15:docId w15:val="{E0BEE625-DC1F-4FC6-A2DE-4B208F7F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color w:val="000000"/>
      <w:sz w:val="24"/>
    </w:rPr>
  </w:style>
  <w:style w:type="paragraph" w:styleId="Heading1">
    <w:name w:val="heading 1"/>
    <w:basedOn w:val="Normal"/>
    <w:next w:val="Normal"/>
    <w:qFormat/>
    <w:pPr>
      <w:keepNext/>
      <w:tabs>
        <w:tab w:val="center" w:pos="4680"/>
      </w:tabs>
      <w:suppressAutoHyphens/>
      <w:spacing w:after="600"/>
      <w:jc w:val="center"/>
      <w:outlineLvl w:val="0"/>
    </w:pPr>
    <w:rPr>
      <w:b/>
      <w:color w:val="auto"/>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Courier" w:hAnsi="Courier"/>
      <w:color w:val="auto"/>
    </w:rPr>
  </w:style>
  <w:style w:type="paragraph" w:styleId="BodyText">
    <w:name w:val="Body Text"/>
    <w:basedOn w:val="Normal"/>
    <w:pPr>
      <w:tabs>
        <w:tab w:val="left" w:pos="-720"/>
      </w:tabs>
      <w:suppressAutoHyphens/>
      <w:jc w:val="both"/>
    </w:pPr>
    <w:rPr>
      <w:color w:val="auto"/>
      <w:spacing w:val="-3"/>
    </w:rPr>
  </w:style>
  <w:style w:type="paragraph" w:styleId="BodyTextIndent">
    <w:name w:val="Body Text Indent"/>
    <w:basedOn w:val="Normal"/>
    <w:pPr>
      <w:tabs>
        <w:tab w:val="left" w:pos="720"/>
        <w:tab w:val="left" w:pos="5040"/>
      </w:tabs>
      <w:suppressAutoHyphens/>
      <w:spacing w:after="120"/>
      <w:ind w:left="720" w:hanging="720"/>
      <w:jc w:val="both"/>
    </w:pPr>
    <w:rPr>
      <w:spacing w:val="-3"/>
    </w:rPr>
  </w:style>
  <w:style w:type="paragraph" w:styleId="Header">
    <w:name w:val="header"/>
    <w:basedOn w:val="Normal"/>
    <w:pPr>
      <w:tabs>
        <w:tab w:val="center" w:pos="4320"/>
        <w:tab w:val="right" w:pos="8640"/>
      </w:tabs>
    </w:pPr>
  </w:style>
  <w:style w:type="paragraph" w:styleId="Title">
    <w:name w:val="Title"/>
    <w:basedOn w:val="Normal"/>
    <w:qFormat/>
    <w:pPr>
      <w:tabs>
        <w:tab w:val="center" w:pos="4680"/>
      </w:tabs>
      <w:suppressAutoHyphens/>
      <w:jc w:val="center"/>
    </w:pPr>
    <w:rPr>
      <w:b/>
      <w:smallCaps/>
      <w:spacing w:val="-3"/>
      <w:sz w:val="32"/>
    </w:rPr>
  </w:style>
  <w:style w:type="paragraph" w:styleId="BalloonText">
    <w:name w:val="Balloon Text"/>
    <w:basedOn w:val="Normal"/>
    <w:link w:val="BalloonTextChar"/>
    <w:rsid w:val="003E7752"/>
    <w:rPr>
      <w:rFonts w:ascii="Tahoma" w:hAnsi="Tahoma"/>
      <w:sz w:val="16"/>
      <w:szCs w:val="16"/>
      <w:lang w:val="x-none" w:eastAsia="x-none"/>
    </w:rPr>
  </w:style>
  <w:style w:type="character" w:customStyle="1" w:styleId="BalloonTextChar">
    <w:name w:val="Balloon Text Char"/>
    <w:link w:val="BalloonText"/>
    <w:rsid w:val="003E775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22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825B11-BB0A-4880-8AB2-76B263A8B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1013</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RESOLUTION FOR RENEWAL OF MEMBERSHIP IN THE</vt:lpstr>
    </vt:vector>
  </TitlesOfParts>
  <Company>Valued Client</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RENEWAL OF MEMBERSHIP IN THE</dc:title>
  <dc:subject/>
  <dc:creator>Company Copy</dc:creator>
  <cp:keywords/>
  <cp:lastModifiedBy>Susan Jackson</cp:lastModifiedBy>
  <cp:revision>2</cp:revision>
  <cp:lastPrinted>2017-05-25T18:55:00Z</cp:lastPrinted>
  <dcterms:created xsi:type="dcterms:W3CDTF">2025-07-31T13:03:00Z</dcterms:created>
  <dcterms:modified xsi:type="dcterms:W3CDTF">2025-07-31T13:03:00Z</dcterms:modified>
</cp:coreProperties>
</file>